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18397" w14:textId="27C38C09" w:rsidR="00F85FA3" w:rsidRPr="00F85FA3" w:rsidRDefault="00F85FA3" w:rsidP="00F85FA3">
      <w:pPr>
        <w:spacing w:before="240" w:after="240"/>
      </w:pPr>
      <w:r w:rsidRPr="00F85FA3">
        <w:t>Ms Charlina Vitcheva</w:t>
      </w:r>
      <w:r w:rsidRPr="00F85FA3">
        <w:br/>
        <w:t>Director-General for Maritime Affairs and Fisheries</w:t>
      </w:r>
      <w:r w:rsidRPr="00F85FA3">
        <w:br/>
        <w:t>European Commission Rue Josef II 99</w:t>
      </w:r>
      <w:r w:rsidRPr="00F85FA3">
        <w:br/>
        <w:t>1000 Brussels</w:t>
      </w:r>
      <w:r w:rsidRPr="00F85FA3">
        <w:br/>
        <w:t>Belgium</w:t>
      </w:r>
    </w:p>
    <w:p w14:paraId="2D1B1A8E" w14:textId="42AEF039" w:rsidR="00ED6978" w:rsidRDefault="00F85FA3" w:rsidP="00FE4520">
      <w:pPr>
        <w:spacing w:before="240" w:after="240"/>
      </w:pPr>
      <w:r w:rsidRPr="00F85FA3">
        <w:t>Cc: Member States</w:t>
      </w:r>
      <w:r w:rsidR="00D76474">
        <w:t>, ICES, European Parliament</w:t>
      </w:r>
      <w:r w:rsidR="00FE4520">
        <w:t xml:space="preserve"> PECH Committee</w:t>
      </w:r>
    </w:p>
    <w:p w14:paraId="64146E2D" w14:textId="77777777" w:rsidR="00FE4520" w:rsidRDefault="00FE4520" w:rsidP="00FE4520">
      <w:pPr>
        <w:spacing w:before="240" w:after="240"/>
      </w:pPr>
    </w:p>
    <w:p w14:paraId="00000001" w14:textId="2F651180" w:rsidR="003C0985" w:rsidRPr="00E14A64" w:rsidRDefault="009F5936" w:rsidP="004C08F1">
      <w:pPr>
        <w:pStyle w:val="Subtitle"/>
        <w:jc w:val="center"/>
        <w:rPr>
          <w:i/>
          <w:iCs/>
          <w:color w:val="FF0000"/>
        </w:rPr>
      </w:pPr>
      <w:r w:rsidRPr="00BF5FF2">
        <w:rPr>
          <w:b/>
          <w:bCs/>
          <w:color w:val="244061" w:themeColor="accent1" w:themeShade="80"/>
          <w:sz w:val="28"/>
          <w:szCs w:val="28"/>
          <w:u w:val="single"/>
        </w:rPr>
        <w:t>NSAC-LDAC-</w:t>
      </w:r>
      <w:proofErr w:type="spellStart"/>
      <w:r w:rsidRPr="00BF5FF2">
        <w:rPr>
          <w:b/>
          <w:bCs/>
          <w:color w:val="244061" w:themeColor="accent1" w:themeShade="80"/>
          <w:sz w:val="28"/>
          <w:szCs w:val="28"/>
          <w:u w:val="single"/>
        </w:rPr>
        <w:t>PelAC</w:t>
      </w:r>
      <w:proofErr w:type="spellEnd"/>
      <w:r w:rsidR="00547E44" w:rsidRPr="00BF5FF2">
        <w:rPr>
          <w:b/>
          <w:bCs/>
          <w:color w:val="244061" w:themeColor="accent1" w:themeShade="80"/>
          <w:sz w:val="28"/>
          <w:szCs w:val="28"/>
          <w:u w:val="single"/>
        </w:rPr>
        <w:t>-NWWAC</w:t>
      </w:r>
      <w:r w:rsidR="00A72BC9">
        <w:rPr>
          <w:b/>
          <w:bCs/>
          <w:color w:val="244061" w:themeColor="accent1" w:themeShade="80"/>
          <w:sz w:val="28"/>
          <w:szCs w:val="28"/>
          <w:u w:val="single"/>
        </w:rPr>
        <w:t>-BSAC</w:t>
      </w:r>
      <w:r w:rsidRPr="00BF5FF2">
        <w:rPr>
          <w:b/>
          <w:bCs/>
          <w:color w:val="244061" w:themeColor="accent1" w:themeShade="80"/>
          <w:sz w:val="28"/>
          <w:szCs w:val="28"/>
          <w:u w:val="single"/>
        </w:rPr>
        <w:t xml:space="preserve"> </w:t>
      </w:r>
      <w:r w:rsidR="00D607B6" w:rsidRPr="00BF5FF2">
        <w:rPr>
          <w:b/>
          <w:bCs/>
          <w:color w:val="244061" w:themeColor="accent1" w:themeShade="80"/>
          <w:sz w:val="28"/>
          <w:szCs w:val="28"/>
          <w:u w:val="single"/>
        </w:rPr>
        <w:t>Advice</w:t>
      </w:r>
      <w:r w:rsidRPr="00BF5FF2">
        <w:rPr>
          <w:b/>
          <w:bCs/>
          <w:color w:val="244061" w:themeColor="accent1" w:themeShade="80"/>
          <w:sz w:val="28"/>
          <w:szCs w:val="28"/>
          <w:u w:val="single"/>
        </w:rPr>
        <w:t xml:space="preserve"> </w:t>
      </w:r>
      <w:r w:rsidR="00BE677C" w:rsidRPr="00BF5FF2">
        <w:rPr>
          <w:b/>
          <w:bCs/>
          <w:color w:val="244061" w:themeColor="accent1" w:themeShade="80"/>
          <w:sz w:val="28"/>
          <w:szCs w:val="28"/>
          <w:u w:val="single"/>
        </w:rPr>
        <w:t>on</w:t>
      </w:r>
      <w:r w:rsidRPr="00BF5FF2">
        <w:rPr>
          <w:b/>
          <w:bCs/>
          <w:color w:val="244061" w:themeColor="accent1" w:themeShade="80"/>
          <w:sz w:val="28"/>
          <w:szCs w:val="28"/>
          <w:u w:val="single"/>
        </w:rPr>
        <w:t xml:space="preserve"> </w:t>
      </w:r>
      <w:r w:rsidR="00EB1B7A" w:rsidRPr="00BF5FF2">
        <w:rPr>
          <w:b/>
          <w:bCs/>
          <w:color w:val="244061" w:themeColor="accent1" w:themeShade="80"/>
          <w:sz w:val="28"/>
          <w:szCs w:val="28"/>
          <w:u w:val="single"/>
        </w:rPr>
        <w:t xml:space="preserve">the evolution of </w:t>
      </w:r>
      <w:r w:rsidRPr="00BF5FF2">
        <w:rPr>
          <w:b/>
          <w:bCs/>
          <w:color w:val="244061" w:themeColor="accent1" w:themeShade="80"/>
          <w:sz w:val="28"/>
          <w:szCs w:val="28"/>
          <w:u w:val="single"/>
        </w:rPr>
        <w:t xml:space="preserve">stakeholder engagement in ICES </w:t>
      </w:r>
      <w:r w:rsidR="00BE677C" w:rsidRPr="00BF5FF2">
        <w:rPr>
          <w:b/>
          <w:bCs/>
          <w:color w:val="244061" w:themeColor="accent1" w:themeShade="80"/>
          <w:sz w:val="28"/>
          <w:szCs w:val="28"/>
          <w:u w:val="single"/>
        </w:rPr>
        <w:t>a</w:t>
      </w:r>
      <w:r w:rsidRPr="00BF5FF2">
        <w:rPr>
          <w:b/>
          <w:bCs/>
          <w:color w:val="244061" w:themeColor="accent1" w:themeShade="80"/>
          <w:sz w:val="28"/>
          <w:szCs w:val="28"/>
          <w:u w:val="single"/>
        </w:rPr>
        <w:t>dvice request formulation</w:t>
      </w:r>
      <w:r w:rsidRPr="00BF5FF2">
        <w:rPr>
          <w:b/>
          <w:bCs/>
          <w:sz w:val="28"/>
          <w:szCs w:val="28"/>
          <w:u w:val="single"/>
        </w:rPr>
        <w:br/>
      </w:r>
      <w:r w:rsidRPr="00E14A64">
        <w:rPr>
          <w:i/>
          <w:iCs/>
        </w:rPr>
        <w:t xml:space="preserve"> </w:t>
      </w:r>
      <w:r w:rsidRPr="00E14A64">
        <w:rPr>
          <w:i/>
          <w:iCs/>
          <w:color w:val="FF0000"/>
        </w:rPr>
        <w:t>Draft</w:t>
      </w:r>
      <w:r w:rsidR="0074478B">
        <w:rPr>
          <w:i/>
          <w:iCs/>
          <w:color w:val="FF0000"/>
        </w:rPr>
        <w:t xml:space="preserve"> for WG approval</w:t>
      </w:r>
    </w:p>
    <w:p w14:paraId="73222196" w14:textId="62DF6B02" w:rsidR="00FE4520" w:rsidRPr="00FB7F85" w:rsidRDefault="00CB2362">
      <w:pPr>
        <w:spacing w:before="240" w:after="240"/>
        <w:rPr>
          <w:i/>
          <w:iCs/>
          <w:sz w:val="24"/>
          <w:szCs w:val="24"/>
        </w:rPr>
      </w:pPr>
      <w:r w:rsidRPr="004E7031">
        <w:rPr>
          <w:i/>
          <w:iCs/>
          <w:highlight w:val="yellow"/>
        </w:rPr>
        <w:t xml:space="preserve">This paper was approved with consensus by the NSAC, LDAC, </w:t>
      </w:r>
      <w:proofErr w:type="spellStart"/>
      <w:r w:rsidR="00565A32" w:rsidRPr="004E7031">
        <w:rPr>
          <w:i/>
          <w:iCs/>
          <w:highlight w:val="yellow"/>
        </w:rPr>
        <w:t>PelAC</w:t>
      </w:r>
      <w:proofErr w:type="spellEnd"/>
      <w:r w:rsidR="00565A32" w:rsidRPr="004E7031">
        <w:rPr>
          <w:i/>
          <w:iCs/>
          <w:highlight w:val="yellow"/>
        </w:rPr>
        <w:t xml:space="preserve">, </w:t>
      </w:r>
      <w:r w:rsidRPr="004E7031">
        <w:rPr>
          <w:i/>
          <w:iCs/>
          <w:highlight w:val="yellow"/>
        </w:rPr>
        <w:t>NWWAC</w:t>
      </w:r>
      <w:r w:rsidR="00565A32" w:rsidRPr="004E7031">
        <w:rPr>
          <w:i/>
          <w:iCs/>
          <w:highlight w:val="yellow"/>
        </w:rPr>
        <w:t>,</w:t>
      </w:r>
      <w:r w:rsidRPr="004E7031">
        <w:rPr>
          <w:i/>
          <w:iCs/>
          <w:highlight w:val="yellow"/>
        </w:rPr>
        <w:t xml:space="preserve"> and </w:t>
      </w:r>
      <w:r w:rsidR="00565A32" w:rsidRPr="004E7031">
        <w:rPr>
          <w:i/>
          <w:iCs/>
          <w:highlight w:val="yellow"/>
        </w:rPr>
        <w:t xml:space="preserve">BSAC </w:t>
      </w:r>
      <w:r w:rsidRPr="004E7031">
        <w:rPr>
          <w:i/>
          <w:iCs/>
          <w:highlight w:val="yellow"/>
        </w:rPr>
        <w:t>Executive Committees on XX October 2024 via written procedure</w:t>
      </w:r>
      <w:r w:rsidRPr="00E14A64">
        <w:rPr>
          <w:i/>
          <w:iCs/>
        </w:rPr>
        <w:t>.</w:t>
      </w:r>
    </w:p>
    <w:p w14:paraId="199EE245" w14:textId="26EB4C2B" w:rsidR="00EB1B7A" w:rsidRPr="00FB7F85" w:rsidRDefault="00EB1B7A" w:rsidP="00FB7F85">
      <w:pPr>
        <w:pStyle w:val="ListParagraph"/>
        <w:numPr>
          <w:ilvl w:val="0"/>
          <w:numId w:val="8"/>
        </w:numPr>
        <w:spacing w:before="240" w:after="240"/>
        <w:rPr>
          <w:color w:val="244061" w:themeColor="accent1" w:themeShade="80"/>
          <w:sz w:val="24"/>
          <w:szCs w:val="24"/>
        </w:rPr>
      </w:pPr>
      <w:r w:rsidRPr="00FB7F85">
        <w:rPr>
          <w:color w:val="244061" w:themeColor="accent1" w:themeShade="80"/>
          <w:sz w:val="24"/>
          <w:szCs w:val="24"/>
        </w:rPr>
        <w:t>Background</w:t>
      </w:r>
    </w:p>
    <w:p w14:paraId="73B97A57" w14:textId="06FC22A5" w:rsidR="006208FE" w:rsidRDefault="004B3E2F" w:rsidP="00C9201C">
      <w:pPr>
        <w:spacing w:before="240" w:after="240"/>
        <w:jc w:val="both"/>
      </w:pPr>
      <w:r>
        <w:t>Building on p</w:t>
      </w:r>
      <w:r w:rsidR="002F11CA">
        <w:t>revious</w:t>
      </w:r>
      <w:r>
        <w:t xml:space="preserve"> calls for </w:t>
      </w:r>
      <w:r w:rsidR="00A34BC9">
        <w:t xml:space="preserve">holistic </w:t>
      </w:r>
      <w:r>
        <w:t xml:space="preserve">inclusion of stakeholders in </w:t>
      </w:r>
      <w:r w:rsidR="00A34BC9">
        <w:t>scientific advice processes</w:t>
      </w:r>
      <w:r w:rsidR="00B368EA">
        <w:rPr>
          <w:rStyle w:val="FootnoteReference"/>
        </w:rPr>
        <w:footnoteReference w:id="1"/>
      </w:r>
      <w:r w:rsidR="00FF337D">
        <w:rPr>
          <w:rStyle w:val="FootnoteReference"/>
          <w:color w:val="0000FF" w:themeColor="hyperlink"/>
          <w:u w:val="single"/>
        </w:rPr>
        <w:footnoteReference w:id="2"/>
      </w:r>
      <w:r w:rsidR="00AF5CE1">
        <w:rPr>
          <w:rStyle w:val="FootnoteReference"/>
        </w:rPr>
        <w:footnoteReference w:id="3"/>
      </w:r>
      <w:r w:rsidR="001E420B">
        <w:t xml:space="preserve">, and </w:t>
      </w:r>
      <w:r w:rsidR="00FF337D">
        <w:t>the subsequent meeting between DG MARE a</w:t>
      </w:r>
      <w:r w:rsidR="009C0099">
        <w:t>nd A</w:t>
      </w:r>
      <w:r w:rsidR="00D14E59">
        <w:t xml:space="preserve">dvisory </w:t>
      </w:r>
      <w:r w:rsidR="009C0099">
        <w:t>C</w:t>
      </w:r>
      <w:r w:rsidR="00D14E59">
        <w:t>ouncil</w:t>
      </w:r>
      <w:r w:rsidR="009C0099">
        <w:t>s</w:t>
      </w:r>
      <w:r w:rsidR="00D14E59">
        <w:t xml:space="preserve"> (ACs)</w:t>
      </w:r>
      <w:r w:rsidR="000779E4">
        <w:t xml:space="preserve"> on 29 February 2024</w:t>
      </w:r>
      <w:r w:rsidR="009C0099">
        <w:t xml:space="preserve"> to discuss scientific advice request</w:t>
      </w:r>
      <w:r w:rsidR="000779E4">
        <w:t xml:space="preserve"> formulation processes</w:t>
      </w:r>
      <w:r w:rsidR="001E420B">
        <w:t>, this paper aims to lay out the</w:t>
      </w:r>
      <w:r w:rsidR="00C95181">
        <w:t xml:space="preserve"> need</w:t>
      </w:r>
      <w:r w:rsidR="00294E30">
        <w:t xml:space="preserve"> for and possible evolution of</w:t>
      </w:r>
      <w:r w:rsidR="00C95181">
        <w:t xml:space="preserve"> enhanced </w:t>
      </w:r>
      <w:r w:rsidR="001E420B">
        <w:t xml:space="preserve">stakeholder engagement in </w:t>
      </w:r>
      <w:r w:rsidR="00734743">
        <w:t>scientific</w:t>
      </w:r>
      <w:r w:rsidR="001E420B" w:rsidRPr="001E420B">
        <w:t xml:space="preserve"> advice request formulation</w:t>
      </w:r>
      <w:r w:rsidR="001E420B">
        <w:t xml:space="preserve">. </w:t>
      </w:r>
    </w:p>
    <w:p w14:paraId="6355F54E" w14:textId="6636E1AF" w:rsidR="00C57F40" w:rsidRDefault="001E420B" w:rsidP="00C9201C">
      <w:pPr>
        <w:spacing w:before="240" w:after="240"/>
        <w:jc w:val="both"/>
      </w:pPr>
      <w:r>
        <w:t xml:space="preserve">The purpose of </w:t>
      </w:r>
      <w:r w:rsidR="00AF7B69">
        <w:t>systematic</w:t>
      </w:r>
      <w:r w:rsidR="005A5982">
        <w:t xml:space="preserve"> </w:t>
      </w:r>
      <w:r w:rsidR="00FA019B">
        <w:t>sta</w:t>
      </w:r>
      <w:r w:rsidR="005A5982">
        <w:t>keholder engagement in</w:t>
      </w:r>
      <w:r w:rsidR="006208FE">
        <w:t xml:space="preserve"> </w:t>
      </w:r>
      <w:r w:rsidR="00611E61">
        <w:t xml:space="preserve">the </w:t>
      </w:r>
      <w:r w:rsidR="006208FE">
        <w:t xml:space="preserve">scientific advice request </w:t>
      </w:r>
      <w:r w:rsidR="00AF7B69">
        <w:t>process</w:t>
      </w:r>
      <w:r w:rsidR="00840FEA">
        <w:t>es</w:t>
      </w:r>
      <w:r w:rsidR="006208FE">
        <w:t xml:space="preserve"> </w:t>
      </w:r>
      <w:r w:rsidR="007E3FEE">
        <w:t xml:space="preserve">is to increase </w:t>
      </w:r>
      <w:r w:rsidR="00840FEA">
        <w:t>their</w:t>
      </w:r>
      <w:r w:rsidR="00513DC8">
        <w:t xml:space="preserve"> </w:t>
      </w:r>
      <w:r w:rsidR="00DA3B8A">
        <w:t>transparency</w:t>
      </w:r>
      <w:r w:rsidR="00840FEA">
        <w:t>,</w:t>
      </w:r>
      <w:r w:rsidR="00DA3B8A">
        <w:t xml:space="preserve"> to </w:t>
      </w:r>
      <w:r w:rsidR="00714FAB">
        <w:t>ensure</w:t>
      </w:r>
      <w:r w:rsidR="006208FE">
        <w:t xml:space="preserve"> requests are aligned with the relevant policy objectives</w:t>
      </w:r>
      <w:r w:rsidR="00F055EC">
        <w:t>,</w:t>
      </w:r>
      <w:r w:rsidR="006208FE">
        <w:t xml:space="preserve"> </w:t>
      </w:r>
      <w:r w:rsidR="00840FEA">
        <w:t xml:space="preserve">to </w:t>
      </w:r>
      <w:r w:rsidR="005B71D4">
        <w:t>include</w:t>
      </w:r>
      <w:r w:rsidR="00C57F40">
        <w:t xml:space="preserve"> pertinent</w:t>
      </w:r>
      <w:r w:rsidR="00435E70">
        <w:t xml:space="preserve"> </w:t>
      </w:r>
      <w:r w:rsidR="006208FE">
        <w:t>stakeholder observations</w:t>
      </w:r>
      <w:r w:rsidR="00840FEA">
        <w:t>,</w:t>
      </w:r>
      <w:r w:rsidR="00F055EC">
        <w:t xml:space="preserve"> and </w:t>
      </w:r>
      <w:r w:rsidR="007D0FDB">
        <w:t>ultimately</w:t>
      </w:r>
      <w:r w:rsidR="002B1435">
        <w:t xml:space="preserve"> to</w:t>
      </w:r>
      <w:r w:rsidR="007D0FDB">
        <w:t xml:space="preserve"> </w:t>
      </w:r>
      <w:r w:rsidR="00F055EC">
        <w:t>improve the credibility</w:t>
      </w:r>
      <w:r w:rsidR="007D0FDB">
        <w:t xml:space="preserve"> and </w:t>
      </w:r>
      <w:r w:rsidR="00F055EC">
        <w:t xml:space="preserve">relevance of scientific advice and </w:t>
      </w:r>
      <w:r w:rsidR="0080084B">
        <w:t>resulting</w:t>
      </w:r>
      <w:r w:rsidR="00F055EC">
        <w:t xml:space="preserve"> policy decisions</w:t>
      </w:r>
      <w:r w:rsidR="00892E0B">
        <w:t>.</w:t>
      </w:r>
      <w:r w:rsidR="0050003B">
        <w:t xml:space="preserve"> </w:t>
      </w:r>
      <w:r w:rsidR="00B15631">
        <w:t>As</w:t>
      </w:r>
      <w:r w:rsidR="00561CA9">
        <w:t xml:space="preserve"> identified by </w:t>
      </w:r>
      <w:r w:rsidR="00E32AC5">
        <w:t>both the scientific community and fisheries managers</w:t>
      </w:r>
      <w:r w:rsidR="00B15631">
        <w:t xml:space="preserve">, stakeholder engagement at the early stage of request formulation is an incentive for stakeholders to participate in the </w:t>
      </w:r>
      <w:r w:rsidR="00DC7F65">
        <w:t>complete</w:t>
      </w:r>
      <w:r w:rsidR="00B15631">
        <w:t xml:space="preserve"> advice process</w:t>
      </w:r>
      <w:r w:rsidR="003D6F16">
        <w:t xml:space="preserve">, where the early stages are most </w:t>
      </w:r>
      <w:r w:rsidR="004F6906">
        <w:t>sensitive</w:t>
      </w:r>
      <w:r w:rsidR="003D6F16">
        <w:t xml:space="preserve"> to </w:t>
      </w:r>
      <w:r w:rsidR="001D66E8">
        <w:t>biased/unnuanced assumptions</w:t>
      </w:r>
      <w:r w:rsidR="004F6906">
        <w:t xml:space="preserve"> affecting all further stages of advice production.</w:t>
      </w:r>
    </w:p>
    <w:p w14:paraId="20CDBE9E" w14:textId="0066ED0B" w:rsidR="006208FE" w:rsidRDefault="00200AEA" w:rsidP="00C9201C">
      <w:pPr>
        <w:spacing w:before="240" w:after="240"/>
        <w:jc w:val="both"/>
      </w:pPr>
      <w:r>
        <w:t xml:space="preserve">To this end, </w:t>
      </w:r>
      <w:r w:rsidR="006208FE">
        <w:t xml:space="preserve">ACs </w:t>
      </w:r>
      <w:r>
        <w:t xml:space="preserve">attempted to </w:t>
      </w:r>
      <w:r w:rsidR="006208FE">
        <w:t xml:space="preserve">develop </w:t>
      </w:r>
      <w:r>
        <w:t xml:space="preserve">specific </w:t>
      </w:r>
      <w:r w:rsidR="006208FE">
        <w:t>recommendation</w:t>
      </w:r>
      <w:r>
        <w:t>s</w:t>
      </w:r>
      <w:r w:rsidR="006208FE">
        <w:t xml:space="preserve"> that </w:t>
      </w:r>
      <w:r>
        <w:t>could help</w:t>
      </w:r>
      <w:r w:rsidR="006208FE">
        <w:t xml:space="preserve"> the EU guide stakeholder inclusion and participation in the process of </w:t>
      </w:r>
      <w:r w:rsidR="00696DE2">
        <w:t>developing</w:t>
      </w:r>
      <w:r w:rsidR="006208FE">
        <w:t xml:space="preserve"> requests for scientific advice</w:t>
      </w:r>
      <w:r w:rsidR="00032242">
        <w:t xml:space="preserve">, </w:t>
      </w:r>
      <w:proofErr w:type="gramStart"/>
      <w:r w:rsidR="00032242">
        <w:t>in particular</w:t>
      </w:r>
      <w:r w:rsidR="00CD14B7">
        <w:t xml:space="preserve"> with</w:t>
      </w:r>
      <w:proofErr w:type="gramEnd"/>
      <w:r w:rsidR="00CD14B7">
        <w:t xml:space="preserve"> regards</w:t>
      </w:r>
      <w:r w:rsidR="006208FE">
        <w:t xml:space="preserve"> to </w:t>
      </w:r>
      <w:r w:rsidR="00002754">
        <w:t xml:space="preserve">the </w:t>
      </w:r>
      <w:r w:rsidR="00440337">
        <w:t>I</w:t>
      </w:r>
      <w:r w:rsidR="00002754">
        <w:t>nternational Co</w:t>
      </w:r>
      <w:r w:rsidR="00A87FCB">
        <w:t>uncil</w:t>
      </w:r>
      <w:r w:rsidR="00002754">
        <w:t xml:space="preserve"> for the Exploration of the Sea </w:t>
      </w:r>
      <w:r w:rsidR="00002754">
        <w:lastRenderedPageBreak/>
        <w:t>(</w:t>
      </w:r>
      <w:r w:rsidR="006208FE">
        <w:t>ICES</w:t>
      </w:r>
      <w:r w:rsidR="00002754">
        <w:t>)</w:t>
      </w:r>
      <w:r w:rsidR="004A6F1D">
        <w:t xml:space="preserve"> but potentially also to other scientific processes, such as the </w:t>
      </w:r>
      <w:r w:rsidR="00556928" w:rsidRPr="00556928">
        <w:t xml:space="preserve">Scientific, Technical and Economic Committee for Fisheries </w:t>
      </w:r>
      <w:r w:rsidR="00EC08AA">
        <w:t>(</w:t>
      </w:r>
      <w:r w:rsidR="004A6F1D">
        <w:t>STECF</w:t>
      </w:r>
      <w:r w:rsidR="00EC08AA">
        <w:t>)</w:t>
      </w:r>
      <w:r w:rsidR="006208FE">
        <w:t>.</w:t>
      </w:r>
      <w:r w:rsidR="006B326C">
        <w:t xml:space="preserve"> This paper focuses on the </w:t>
      </w:r>
      <w:r w:rsidR="00A9129B">
        <w:t>short-term</w:t>
      </w:r>
      <w:r w:rsidR="006B326C">
        <w:t xml:space="preserve"> aspiration, which is to </w:t>
      </w:r>
      <w:r w:rsidR="00EC08AA">
        <w:t>enhance</w:t>
      </w:r>
      <w:r w:rsidR="00D5430F">
        <w:t xml:space="preserve"> stakeholder engagement in the non-recurrent (special) advice</w:t>
      </w:r>
      <w:r w:rsidR="006E0001">
        <w:t xml:space="preserve"> </w:t>
      </w:r>
      <w:r w:rsidR="004E0CA0">
        <w:t xml:space="preserve">request </w:t>
      </w:r>
      <w:r w:rsidR="006E0001">
        <w:t>process</w:t>
      </w:r>
      <w:r w:rsidR="001A683A">
        <w:t>.</w:t>
      </w:r>
      <w:r w:rsidR="00F65DA5">
        <w:t xml:space="preserve"> </w:t>
      </w:r>
      <w:r w:rsidR="001A683A">
        <w:t>A</w:t>
      </w:r>
      <w:r w:rsidR="00F65DA5">
        <w:t xml:space="preserve"> </w:t>
      </w:r>
      <w:r w:rsidR="00D25DFF">
        <w:t>longer-term</w:t>
      </w:r>
      <w:r w:rsidR="00F65DA5">
        <w:t xml:space="preserve"> </w:t>
      </w:r>
      <w:r w:rsidR="00A56E18">
        <w:t xml:space="preserve">objective would be </w:t>
      </w:r>
      <w:r w:rsidR="00F65DA5">
        <w:t xml:space="preserve">to expand successful </w:t>
      </w:r>
      <w:r w:rsidR="00C23867">
        <w:t xml:space="preserve">engagement </w:t>
      </w:r>
      <w:r w:rsidR="00A9129B">
        <w:t xml:space="preserve">practices </w:t>
      </w:r>
      <w:r w:rsidR="00F65DA5">
        <w:t xml:space="preserve">to </w:t>
      </w:r>
      <w:r w:rsidR="00A9129B">
        <w:t xml:space="preserve">future </w:t>
      </w:r>
      <w:r w:rsidR="00D25DFF">
        <w:t>recurrent advice</w:t>
      </w:r>
      <w:r w:rsidR="00A56E18">
        <w:t xml:space="preserve"> </w:t>
      </w:r>
      <w:r w:rsidR="00627021">
        <w:t xml:space="preserve">request </w:t>
      </w:r>
      <w:r w:rsidR="00A56E18">
        <w:t>formulation</w:t>
      </w:r>
      <w:r w:rsidR="00CE218C">
        <w:t>s</w:t>
      </w:r>
      <w:r w:rsidR="00D25DFF">
        <w:t>.</w:t>
      </w:r>
    </w:p>
    <w:p w14:paraId="53674999" w14:textId="6F6DCCDE" w:rsidR="00D25DFF" w:rsidRDefault="00737BA5" w:rsidP="006208FE">
      <w:pPr>
        <w:spacing w:before="240" w:after="240"/>
        <w:jc w:val="both"/>
      </w:pPr>
      <w:r>
        <w:t>Th</w:t>
      </w:r>
      <w:r w:rsidR="002360CD">
        <w:t>is</w:t>
      </w:r>
      <w:r>
        <w:t xml:space="preserve"> </w:t>
      </w:r>
      <w:r w:rsidR="00800DCB">
        <w:t>joint-AC advice</w:t>
      </w:r>
      <w:r>
        <w:t xml:space="preserve"> was developed through consultations in the task force</w:t>
      </w:r>
      <w:r w:rsidR="00FF4EE6">
        <w:rPr>
          <w:rStyle w:val="FootnoteReference"/>
        </w:rPr>
        <w:footnoteReference w:id="4"/>
      </w:r>
      <w:r>
        <w:t xml:space="preserve"> established to generate </w:t>
      </w:r>
      <w:r w:rsidR="005A6EDA">
        <w:t xml:space="preserve">a draft </w:t>
      </w:r>
      <w:r w:rsidR="0028112B">
        <w:t xml:space="preserve">advice </w:t>
      </w:r>
      <w:r w:rsidR="00444D00">
        <w:t xml:space="preserve">with </w:t>
      </w:r>
      <w:r w:rsidR="00FC53F9">
        <w:t>recommendations</w:t>
      </w:r>
      <w:r w:rsidR="00DA04FA">
        <w:t xml:space="preserve">. The task force met </w:t>
      </w:r>
      <w:r w:rsidR="00694E56">
        <w:t>twice</w:t>
      </w:r>
      <w:r w:rsidR="00DA04FA">
        <w:t xml:space="preserve"> over the course of the summer </w:t>
      </w:r>
      <w:r w:rsidR="00454903">
        <w:t xml:space="preserve">of 2024 </w:t>
      </w:r>
      <w:r w:rsidR="00FB4DF8">
        <w:t xml:space="preserve">with </w:t>
      </w:r>
      <w:r w:rsidR="00807551">
        <w:t>frequent written exchanges</w:t>
      </w:r>
      <w:r w:rsidR="00DA04FA">
        <w:t xml:space="preserve">. The final draft advice was </w:t>
      </w:r>
      <w:r w:rsidR="00FC53F9">
        <w:t xml:space="preserve">subsequently </w:t>
      </w:r>
      <w:r w:rsidR="00DA04FA">
        <w:t xml:space="preserve">forwarded to relevant AC </w:t>
      </w:r>
      <w:r w:rsidR="007125D5" w:rsidRPr="00AC48BC">
        <w:t>Working Groups</w:t>
      </w:r>
      <w:r w:rsidR="007125D5">
        <w:t xml:space="preserve"> and </w:t>
      </w:r>
      <w:r w:rsidR="00DA04FA">
        <w:t>Executive Committees</w:t>
      </w:r>
      <w:r w:rsidR="00FC53F9">
        <w:t xml:space="preserve"> for further input and approval.</w:t>
      </w:r>
    </w:p>
    <w:p w14:paraId="466C84A1" w14:textId="57474B55" w:rsidR="00341E9B" w:rsidRDefault="00341E9B" w:rsidP="006208FE">
      <w:pPr>
        <w:spacing w:before="240" w:after="240"/>
        <w:jc w:val="both"/>
      </w:pPr>
      <w:r>
        <w:t>We consider the main parties of this advice</w:t>
      </w:r>
      <w:r w:rsidR="00124BC1">
        <w:t xml:space="preserve"> </w:t>
      </w:r>
      <w:r>
        <w:t>to be</w:t>
      </w:r>
      <w:r w:rsidR="00CE1912">
        <w:t xml:space="preserve"> the</w:t>
      </w:r>
      <w:r>
        <w:t xml:space="preserve"> ACs and DG MARE</w:t>
      </w:r>
      <w:r w:rsidR="00232B15">
        <w:t>, the latter</w:t>
      </w:r>
      <w:r w:rsidR="00232B15" w:rsidRPr="00232B15">
        <w:t xml:space="preserve"> </w:t>
      </w:r>
      <w:r w:rsidR="00D805FB">
        <w:t xml:space="preserve">being the </w:t>
      </w:r>
      <w:r w:rsidR="00C11D82">
        <w:t xml:space="preserve">main </w:t>
      </w:r>
      <w:r w:rsidR="00D805FB">
        <w:t xml:space="preserve">recipient </w:t>
      </w:r>
      <w:r w:rsidR="00C11D82">
        <w:t>of the recommendations</w:t>
      </w:r>
      <w:r w:rsidR="0068735D">
        <w:t>,</w:t>
      </w:r>
      <w:r w:rsidR="00197CC0">
        <w:t xml:space="preserve"> given its key role as </w:t>
      </w:r>
      <w:r w:rsidR="00B3284E">
        <w:t xml:space="preserve">an </w:t>
      </w:r>
      <w:r w:rsidR="00197CC0">
        <w:t>advice requester to ICES for</w:t>
      </w:r>
      <w:r w:rsidR="009651B0">
        <w:t xml:space="preserve"> </w:t>
      </w:r>
      <w:r w:rsidR="0044284E">
        <w:t xml:space="preserve">the management </w:t>
      </w:r>
      <w:r w:rsidR="0068735D">
        <w:t xml:space="preserve">of </w:t>
      </w:r>
      <w:r w:rsidR="009651B0">
        <w:t>EU and shared fish stocks</w:t>
      </w:r>
      <w:r w:rsidR="0068735D">
        <w:t>.</w:t>
      </w:r>
      <w:r>
        <w:t xml:space="preserve"> </w:t>
      </w:r>
      <w:r w:rsidR="00B3284E">
        <w:t>Member States will, as usual, be informed</w:t>
      </w:r>
      <w:r w:rsidR="00E1683D">
        <w:t xml:space="preserve"> as well. In addition, w</w:t>
      </w:r>
      <w:r>
        <w:t>ith the</w:t>
      </w:r>
      <w:r w:rsidR="0068735D">
        <w:t xml:space="preserve"> more</w:t>
      </w:r>
      <w:r>
        <w:t xml:space="preserve"> general aim of </w:t>
      </w:r>
      <w:r w:rsidR="0068735D">
        <w:t xml:space="preserve">enhanced </w:t>
      </w:r>
      <w:r w:rsidR="002374C7">
        <w:t xml:space="preserve">transparency and </w:t>
      </w:r>
      <w:r>
        <w:t xml:space="preserve">further integration of science-policy-society interface, we </w:t>
      </w:r>
      <w:r w:rsidR="00B3284E">
        <w:t>also</w:t>
      </w:r>
      <w:r w:rsidR="001454B9">
        <w:t xml:space="preserve"> </w:t>
      </w:r>
      <w:r w:rsidR="00F42A02">
        <w:t>inform</w:t>
      </w:r>
      <w:r w:rsidR="0025415C">
        <w:t>ed</w:t>
      </w:r>
      <w:r w:rsidR="00E1683D">
        <w:t xml:space="preserve"> </w:t>
      </w:r>
      <w:r w:rsidR="00F42A02">
        <w:t xml:space="preserve">ICES and the European </w:t>
      </w:r>
      <w:r w:rsidR="0052577E">
        <w:t>Parliament</w:t>
      </w:r>
      <w:r w:rsidR="00E1683D">
        <w:t>’s PECH Committee</w:t>
      </w:r>
      <w:r w:rsidR="00F42A02">
        <w:t xml:space="preserve"> of this paper’s submission to the European Commission.</w:t>
      </w:r>
      <w:r w:rsidR="0041462E">
        <w:t xml:space="preserve"> We leave it to further discussions with the Commission whether </w:t>
      </w:r>
      <w:r w:rsidR="000C44AF">
        <w:t xml:space="preserve">these or </w:t>
      </w:r>
      <w:r w:rsidR="0041462E">
        <w:t xml:space="preserve">any additional </w:t>
      </w:r>
      <w:r w:rsidR="00746256">
        <w:t xml:space="preserve">actors </w:t>
      </w:r>
      <w:r w:rsidR="0041462E">
        <w:t xml:space="preserve">are to be included in any future </w:t>
      </w:r>
      <w:r w:rsidR="00CC20E6">
        <w:t>steps</w:t>
      </w:r>
      <w:r w:rsidR="002A19A7">
        <w:t>.</w:t>
      </w:r>
    </w:p>
    <w:p w14:paraId="735F30C7" w14:textId="77777777" w:rsidR="0085774E" w:rsidRDefault="0085774E">
      <w:pPr>
        <w:rPr>
          <w:b/>
        </w:rPr>
      </w:pPr>
    </w:p>
    <w:p w14:paraId="00000008" w14:textId="1DB301B2" w:rsidR="003C0985" w:rsidRPr="00FE4520" w:rsidRDefault="009F5936" w:rsidP="00FE4520">
      <w:pPr>
        <w:pStyle w:val="ListParagraph"/>
        <w:numPr>
          <w:ilvl w:val="0"/>
          <w:numId w:val="8"/>
        </w:numPr>
        <w:rPr>
          <w:bCs/>
          <w:color w:val="244061" w:themeColor="accent1" w:themeShade="80"/>
          <w:sz w:val="24"/>
          <w:szCs w:val="24"/>
        </w:rPr>
      </w:pPr>
      <w:r w:rsidRPr="00FE4520">
        <w:rPr>
          <w:bCs/>
          <w:color w:val="244061" w:themeColor="accent1" w:themeShade="80"/>
          <w:sz w:val="24"/>
          <w:szCs w:val="24"/>
        </w:rPr>
        <w:t xml:space="preserve">Rationale </w:t>
      </w:r>
      <w:r w:rsidR="008F2E63" w:rsidRPr="00FE4520">
        <w:rPr>
          <w:bCs/>
          <w:color w:val="244061" w:themeColor="accent1" w:themeShade="80"/>
          <w:sz w:val="24"/>
          <w:szCs w:val="24"/>
        </w:rPr>
        <w:t xml:space="preserve">and legal background </w:t>
      </w:r>
      <w:r w:rsidRPr="00FE4520">
        <w:rPr>
          <w:bCs/>
          <w:color w:val="244061" w:themeColor="accent1" w:themeShade="80"/>
          <w:sz w:val="24"/>
          <w:szCs w:val="24"/>
        </w:rPr>
        <w:t>for stakeholder involvement in requests for scientific advice</w:t>
      </w:r>
    </w:p>
    <w:p w14:paraId="00000009" w14:textId="5D6796D6" w:rsidR="003C0985" w:rsidRDefault="009F5936">
      <w:pPr>
        <w:spacing w:before="240" w:after="240"/>
        <w:jc w:val="both"/>
      </w:pPr>
      <w:r>
        <w:t xml:space="preserve">Scientific advice is a key </w:t>
      </w:r>
      <w:r w:rsidR="0007053C">
        <w:t>element</w:t>
      </w:r>
      <w:r>
        <w:t xml:space="preserve"> of fisheries management as it addresses the science needs of fisheries managers </w:t>
      </w:r>
      <w:r w:rsidR="0007053C">
        <w:t>as they</w:t>
      </w:r>
      <w:r>
        <w:t xml:space="preserve"> develop measures, such as catch limits or gear restrictions, </w:t>
      </w:r>
      <w:r w:rsidR="0007053C">
        <w:t>to</w:t>
      </w:r>
      <w:r>
        <w:t xml:space="preserve"> achieve their policy </w:t>
      </w:r>
      <w:r w:rsidR="006710C8">
        <w:t>objectives</w:t>
      </w:r>
      <w:r>
        <w:t>. They pose questions to scientists related to these policy</w:t>
      </w:r>
      <w:r w:rsidR="005A3787">
        <w:t xml:space="preserve"> </w:t>
      </w:r>
      <w:r w:rsidR="006710C8">
        <w:t>objectives</w:t>
      </w:r>
      <w:r>
        <w:t xml:space="preserve">, which scientists then do their best to answer.  </w:t>
      </w:r>
    </w:p>
    <w:p w14:paraId="0000000C" w14:textId="12D23902" w:rsidR="003C0985" w:rsidRDefault="009F5936">
      <w:pPr>
        <w:spacing w:before="240" w:after="240"/>
        <w:jc w:val="both"/>
      </w:pPr>
      <w:r>
        <w:t>Traditionally, fisheries managers have asked questions that request</w:t>
      </w:r>
      <w:r w:rsidR="00916E50">
        <w:t>ed</w:t>
      </w:r>
      <w:r>
        <w:t xml:space="preserve"> scientists to focus mainly on individual fish populations and catches. These unidimensional questions produce limited advice and</w:t>
      </w:r>
      <w:r w:rsidR="003479CF">
        <w:t xml:space="preserve"> resulting,</w:t>
      </w:r>
      <w:r>
        <w:t xml:space="preserve"> management measures that do not sufficiently address broader issues such as long-term ecosystem health</w:t>
      </w:r>
      <w:r w:rsidR="000C529C">
        <w:t xml:space="preserve"> or social considerations</w:t>
      </w:r>
      <w:r>
        <w:t xml:space="preserve">. However, global commitments such as </w:t>
      </w:r>
      <w:r w:rsidR="008213B6" w:rsidRPr="008213B6">
        <w:t>the 1995 UNCLOS Agreement on Straddling Stocks and Highly Migratory Fish Stocks (UN Fish Stocks Agreement), the 2001 FAO Reykjavik Declaration</w:t>
      </w:r>
      <w:r>
        <w:t xml:space="preserve">, </w:t>
      </w:r>
      <w:r w:rsidR="00673A89">
        <w:t xml:space="preserve">the </w:t>
      </w:r>
      <w:r w:rsidR="00006889" w:rsidRPr="00006889">
        <w:t>2003 UN General Assembly resolutions</w:t>
      </w:r>
      <w:r w:rsidR="00006889">
        <w:t xml:space="preserve">, </w:t>
      </w:r>
      <w:r w:rsidR="00CF33DC">
        <w:rPr>
          <w:lang w:val="en-US"/>
        </w:rPr>
        <w:t xml:space="preserve">several </w:t>
      </w:r>
      <w:r w:rsidR="008F6B7E" w:rsidRPr="008F6B7E">
        <w:t>FAO Committee o</w:t>
      </w:r>
      <w:r w:rsidR="00CF33DC">
        <w:rPr>
          <w:lang w:val="en-US"/>
        </w:rPr>
        <w:t>n</w:t>
      </w:r>
      <w:r w:rsidR="008F6B7E" w:rsidRPr="008F6B7E">
        <w:t xml:space="preserve"> Fisheries (COFI) Declaration</w:t>
      </w:r>
      <w:r w:rsidR="00CF33DC">
        <w:rPr>
          <w:lang w:val="en-US"/>
        </w:rPr>
        <w:t>s</w:t>
      </w:r>
      <w:r w:rsidR="008F6B7E">
        <w:t xml:space="preserve">, </w:t>
      </w:r>
      <w:r>
        <w:t xml:space="preserve">the </w:t>
      </w:r>
      <w:r w:rsidR="008F6B7E">
        <w:t xml:space="preserve">2022 </w:t>
      </w:r>
      <w:r>
        <w:t>Kunming-Montreal Global Biodiversity Framework (GBF) and the</w:t>
      </w:r>
      <w:r w:rsidR="008F6B7E">
        <w:t xml:space="preserve"> 2023</w:t>
      </w:r>
      <w:r>
        <w:t xml:space="preserve"> U</w:t>
      </w:r>
      <w:r w:rsidR="008F6B7E">
        <w:t>N</w:t>
      </w:r>
      <w:r>
        <w:t xml:space="preserve"> High Seas Treaty,</w:t>
      </w:r>
      <w:r w:rsidR="0084615B">
        <w:t xml:space="preserve"> </w:t>
      </w:r>
      <w:r>
        <w:t>all direct fisheries managers to adopt a broader approach to fisheries management by moving away from considering single-stock yields and by requesting more comprehensive, broader-in-scope, scientific advice.</w:t>
      </w:r>
      <w:r w:rsidR="0052537B">
        <w:t xml:space="preserve"> </w:t>
      </w:r>
      <w:r w:rsidR="00150B17">
        <w:t>A</w:t>
      </w:r>
      <w:r w:rsidR="006C159D">
        <w:t xml:space="preserve">t </w:t>
      </w:r>
      <w:r w:rsidR="00150B17">
        <w:t xml:space="preserve">the </w:t>
      </w:r>
      <w:r w:rsidR="006C159D">
        <w:t>EU</w:t>
      </w:r>
      <w:r w:rsidR="00453DC5">
        <w:t xml:space="preserve"> level, </w:t>
      </w:r>
      <w:r w:rsidR="008F365A">
        <w:t>o</w:t>
      </w:r>
      <w:r w:rsidR="00696464">
        <w:t xml:space="preserve">ne of the objectives of </w:t>
      </w:r>
      <w:r w:rsidR="00696464">
        <w:lastRenderedPageBreak/>
        <w:t xml:space="preserve">the </w:t>
      </w:r>
      <w:r w:rsidR="002C0F4B">
        <w:t>Common Fisheries Policy</w:t>
      </w:r>
      <w:r w:rsidR="00696464">
        <w:t xml:space="preserve"> is the implementation of</w:t>
      </w:r>
      <w:r w:rsidR="00696464" w:rsidRPr="00696464">
        <w:t xml:space="preserve"> an Ecosystem-Based Approach to Fisheries Management (EAFM)</w:t>
      </w:r>
      <w:r w:rsidR="000D1E4D">
        <w:rPr>
          <w:rStyle w:val="FootnoteReference"/>
        </w:rPr>
        <w:footnoteReference w:id="5"/>
      </w:r>
      <w:r w:rsidR="00696464" w:rsidRPr="00696464">
        <w:t>.</w:t>
      </w:r>
      <w:r w:rsidR="002C0F4B">
        <w:t xml:space="preserve">  </w:t>
      </w:r>
      <w:r w:rsidR="0052537B">
        <w:t xml:space="preserve"> </w:t>
      </w:r>
    </w:p>
    <w:p w14:paraId="6C9C57E9" w14:textId="3A0ECF61" w:rsidR="00D33320" w:rsidRDefault="00453DC5">
      <w:pPr>
        <w:spacing w:before="240" w:after="240"/>
        <w:jc w:val="both"/>
        <w:rPr>
          <w:b/>
        </w:rPr>
      </w:pPr>
      <w:r>
        <w:rPr>
          <w:bCs/>
        </w:rPr>
        <w:t xml:space="preserve">The </w:t>
      </w:r>
      <w:r w:rsidR="009E54DF" w:rsidRPr="00EB30F8">
        <w:rPr>
          <w:b/>
        </w:rPr>
        <w:t xml:space="preserve">Commission’s Communication on </w:t>
      </w:r>
      <w:r w:rsidR="00AF6527" w:rsidRPr="00EB30F8">
        <w:rPr>
          <w:b/>
        </w:rPr>
        <w:t>Better Regulation</w:t>
      </w:r>
      <w:r w:rsidR="00337969">
        <w:rPr>
          <w:rStyle w:val="FootnoteReference"/>
          <w:bCs/>
        </w:rPr>
        <w:footnoteReference w:id="6"/>
      </w:r>
      <w:r w:rsidR="00823170">
        <w:rPr>
          <w:bCs/>
        </w:rPr>
        <w:t xml:space="preserve"> was </w:t>
      </w:r>
      <w:r w:rsidR="00A373DB">
        <w:rPr>
          <w:bCs/>
        </w:rPr>
        <w:t>published</w:t>
      </w:r>
      <w:r w:rsidR="007A7EC9">
        <w:rPr>
          <w:bCs/>
        </w:rPr>
        <w:t xml:space="preserve">, among others, to ensure that </w:t>
      </w:r>
      <w:r w:rsidR="0086240A">
        <w:rPr>
          <w:bCs/>
        </w:rPr>
        <w:t>policy decisions</w:t>
      </w:r>
      <w:r w:rsidR="00A5530E">
        <w:rPr>
          <w:bCs/>
        </w:rPr>
        <w:t xml:space="preserve"> are evidence</w:t>
      </w:r>
      <w:r w:rsidR="0086240A">
        <w:rPr>
          <w:bCs/>
        </w:rPr>
        <w:t>-</w:t>
      </w:r>
      <w:r w:rsidR="00A5530E">
        <w:rPr>
          <w:bCs/>
        </w:rPr>
        <w:t xml:space="preserve">based and that </w:t>
      </w:r>
      <w:r w:rsidR="007A7EC9">
        <w:rPr>
          <w:bCs/>
        </w:rPr>
        <w:t>th</w:t>
      </w:r>
      <w:r w:rsidR="00A5530E">
        <w:rPr>
          <w:bCs/>
        </w:rPr>
        <w:t>o</w:t>
      </w:r>
      <w:r w:rsidR="007A7EC9">
        <w:rPr>
          <w:bCs/>
        </w:rPr>
        <w:t>se affected by policy decisions are included in their shaping.</w:t>
      </w:r>
      <w:r w:rsidR="00AF6527">
        <w:rPr>
          <w:bCs/>
        </w:rPr>
        <w:t xml:space="preserve"> </w:t>
      </w:r>
      <w:r w:rsidR="004C5339">
        <w:rPr>
          <w:b/>
        </w:rPr>
        <w:t xml:space="preserve">Advisory Councils </w:t>
      </w:r>
      <w:r w:rsidR="004C5339" w:rsidRPr="00B97249">
        <w:rPr>
          <w:bCs/>
        </w:rPr>
        <w:t>are bodies specifically set up to</w:t>
      </w:r>
      <w:r w:rsidR="00B97249" w:rsidRPr="00B97249">
        <w:rPr>
          <w:bCs/>
        </w:rPr>
        <w:t xml:space="preserve"> enable the CFP </w:t>
      </w:r>
      <w:r w:rsidR="00D67977">
        <w:rPr>
          <w:bCs/>
        </w:rPr>
        <w:t xml:space="preserve">and fisheries management </w:t>
      </w:r>
      <w:r w:rsidR="00B97249" w:rsidRPr="00B97249">
        <w:rPr>
          <w:bCs/>
        </w:rPr>
        <w:t>to benefit from the knowledge and experience of the stakeholders.</w:t>
      </w:r>
      <w:r w:rsidR="00CF0DB8">
        <w:rPr>
          <w:rStyle w:val="FootnoteReference"/>
          <w:bCs/>
        </w:rPr>
        <w:footnoteReference w:id="7"/>
      </w:r>
      <w:r w:rsidR="007A50D3">
        <w:rPr>
          <w:bCs/>
        </w:rPr>
        <w:t xml:space="preserve"> Furthermore, </w:t>
      </w:r>
      <w:r w:rsidR="00FE4CFD" w:rsidRPr="00846999">
        <w:rPr>
          <w:b/>
        </w:rPr>
        <w:t xml:space="preserve">best practices identified </w:t>
      </w:r>
      <w:r w:rsidR="00DE0577" w:rsidRPr="00846999">
        <w:rPr>
          <w:b/>
        </w:rPr>
        <w:t xml:space="preserve">to </w:t>
      </w:r>
      <w:r w:rsidR="007A50D3" w:rsidRPr="00846999">
        <w:rPr>
          <w:b/>
        </w:rPr>
        <w:t>implement EAFM</w:t>
      </w:r>
      <w:r w:rsidR="007A50D3" w:rsidRPr="002F6FB0">
        <w:rPr>
          <w:bCs/>
        </w:rPr>
        <w:t xml:space="preserve"> </w:t>
      </w:r>
      <w:r w:rsidR="00DE0577">
        <w:rPr>
          <w:bCs/>
        </w:rPr>
        <w:t xml:space="preserve">include </w:t>
      </w:r>
      <w:r w:rsidR="007A50D3" w:rsidRPr="002F6FB0">
        <w:rPr>
          <w:bCs/>
        </w:rPr>
        <w:t xml:space="preserve">enhanced stakeholder engagement </w:t>
      </w:r>
      <w:r w:rsidR="007A50D3">
        <w:rPr>
          <w:bCs/>
        </w:rPr>
        <w:t>to improve the knowledge base, the advice process</w:t>
      </w:r>
      <w:r w:rsidR="00846999">
        <w:rPr>
          <w:bCs/>
        </w:rPr>
        <w:t>es,</w:t>
      </w:r>
      <w:r w:rsidR="007A50D3">
        <w:rPr>
          <w:bCs/>
        </w:rPr>
        <w:t xml:space="preserve"> and the decision-making process of fisheries management</w:t>
      </w:r>
      <w:r w:rsidR="007A50D3">
        <w:rPr>
          <w:rStyle w:val="FootnoteReference"/>
          <w:bCs/>
        </w:rPr>
        <w:footnoteReference w:id="8"/>
      </w:r>
    </w:p>
    <w:p w14:paraId="0000000D" w14:textId="437F8B5C" w:rsidR="003C0985" w:rsidRDefault="009F5936">
      <w:pPr>
        <w:spacing w:before="240" w:after="240"/>
        <w:jc w:val="both"/>
      </w:pPr>
      <w:r w:rsidRPr="00846999">
        <w:rPr>
          <w:bCs/>
        </w:rPr>
        <w:t>ICES, in its</w:t>
      </w:r>
      <w:r>
        <w:rPr>
          <w:b/>
        </w:rPr>
        <w:t xml:space="preserve"> 2023 Guide to ICES Advisory Framework and Principles</w:t>
      </w:r>
      <w:r w:rsidR="00197CDA">
        <w:rPr>
          <w:rStyle w:val="FootnoteReference"/>
          <w:b/>
        </w:rPr>
        <w:footnoteReference w:id="9"/>
      </w:r>
      <w:r>
        <w:t xml:space="preserve"> recognises that the expectations of wider society impact the development and delivery of advice </w:t>
      </w:r>
      <w:r w:rsidR="007413A1">
        <w:t>and</w:t>
      </w:r>
      <w:r w:rsidR="00A10155">
        <w:t xml:space="preserve"> </w:t>
      </w:r>
      <w:r w:rsidR="007413A1">
        <w:t>that</w:t>
      </w:r>
      <w:r w:rsidR="0032268D">
        <w:t xml:space="preserve"> </w:t>
      </w:r>
      <w:r w:rsidR="00A10155">
        <w:t xml:space="preserve"> </w:t>
      </w:r>
      <w:r>
        <w:t xml:space="preserve">enhanced dialogue between ICES and advice requesters, but also stakeholders, is required, </w:t>
      </w:r>
      <w:proofErr w:type="gramStart"/>
      <w:r>
        <w:t>in particular with</w:t>
      </w:r>
      <w:proofErr w:type="gramEnd"/>
      <w:r>
        <w:t xml:space="preserve"> </w:t>
      </w:r>
      <w:r w:rsidR="00A10155">
        <w:t xml:space="preserve">the </w:t>
      </w:r>
      <w:r>
        <w:t xml:space="preserve">further application of </w:t>
      </w:r>
      <w:r w:rsidR="000B0A98">
        <w:t>E</w:t>
      </w:r>
      <w:r w:rsidR="007413A1">
        <w:t>A</w:t>
      </w:r>
      <w:r w:rsidR="000B0A98">
        <w:t>FM</w:t>
      </w:r>
      <w:r>
        <w:t xml:space="preserve">. </w:t>
      </w:r>
    </w:p>
    <w:p w14:paraId="0000000F" w14:textId="65AD7BCE" w:rsidR="003C0985" w:rsidRDefault="009F5936">
      <w:pPr>
        <w:spacing w:before="240" w:after="240"/>
        <w:jc w:val="both"/>
      </w:pPr>
      <w:r w:rsidRPr="00FB7F85">
        <w:rPr>
          <w:b/>
          <w:bCs/>
        </w:rPr>
        <w:t>ICES Guidelines on the formulation of advice requests</w:t>
      </w:r>
      <w:r w:rsidR="00AF33D2">
        <w:rPr>
          <w:rStyle w:val="FootnoteReference"/>
        </w:rPr>
        <w:footnoteReference w:id="10"/>
      </w:r>
      <w:r>
        <w:t xml:space="preserve"> lay down the content of the agreements (i.e. MoU)</w:t>
      </w:r>
      <w:r w:rsidR="001F0D68">
        <w:t xml:space="preserve"> and processes underlying these agreements</w:t>
      </w:r>
      <w:r w:rsidR="00346470">
        <w:t>, including the interactions</w:t>
      </w:r>
      <w:r>
        <w:t xml:space="preserve"> ICES has with its advice requesters. The MoU and grant agreements list the scope of recurrent advice (i.e. advice on fishing opportunities, bycatch, VMEs, innovative gears, and sea mammals), the specific fish stocks covered, the overviews, and the approach to special (non-recurrent) requests.</w:t>
      </w:r>
      <w:r w:rsidR="00EB3696">
        <w:t xml:space="preserve"> It also explains the</w:t>
      </w:r>
      <w:r w:rsidR="00914E61">
        <w:t xml:space="preserve"> formulation and evaluation of advice requests. </w:t>
      </w:r>
    </w:p>
    <w:p w14:paraId="535C5C2C" w14:textId="0F17AFDE" w:rsidR="002952A8" w:rsidRDefault="009F5936" w:rsidP="002952A8">
      <w:pPr>
        <w:spacing w:before="240" w:after="240"/>
        <w:jc w:val="both"/>
      </w:pPr>
      <w:r>
        <w:t xml:space="preserve">Both the </w:t>
      </w:r>
      <w:r w:rsidRPr="00E77DBE">
        <w:rPr>
          <w:b/>
          <w:bCs/>
        </w:rPr>
        <w:t>fishing industry</w:t>
      </w:r>
      <w:r>
        <w:t xml:space="preserve"> and </w:t>
      </w:r>
      <w:r w:rsidR="001B4883" w:rsidRPr="00E77DBE">
        <w:rPr>
          <w:b/>
          <w:bCs/>
        </w:rPr>
        <w:t>O</w:t>
      </w:r>
      <w:r w:rsidRPr="00E77DBE">
        <w:rPr>
          <w:b/>
          <w:bCs/>
        </w:rPr>
        <w:t xml:space="preserve">ther </w:t>
      </w:r>
      <w:r w:rsidR="001B4883" w:rsidRPr="00E77DBE">
        <w:rPr>
          <w:b/>
          <w:bCs/>
        </w:rPr>
        <w:t>I</w:t>
      </w:r>
      <w:r w:rsidRPr="00E77DBE">
        <w:rPr>
          <w:b/>
          <w:bCs/>
        </w:rPr>
        <w:t xml:space="preserve">nterest </w:t>
      </w:r>
      <w:r w:rsidR="001B4883" w:rsidRPr="00E77DBE">
        <w:rPr>
          <w:b/>
          <w:bCs/>
        </w:rPr>
        <w:t>G</w:t>
      </w:r>
      <w:r w:rsidRPr="00E77DBE">
        <w:rPr>
          <w:b/>
          <w:bCs/>
        </w:rPr>
        <w:t>roups</w:t>
      </w:r>
      <w:r>
        <w:t xml:space="preserve"> can play an important role in developing a request. The inclusion of diverse perspectives into the request formulation process improves the credibility, relevance</w:t>
      </w:r>
      <w:r w:rsidR="004B2E2F">
        <w:t>,</w:t>
      </w:r>
      <w:r>
        <w:t xml:space="preserve"> and legitimacy of scientific advice and related policy decisions</w:t>
      </w:r>
      <w:r>
        <w:rPr>
          <w:vertAlign w:val="superscript"/>
        </w:rPr>
        <w:footnoteReference w:id="11"/>
      </w:r>
      <w:r>
        <w:t>. For example, commissioning advice about an ecosystem</w:t>
      </w:r>
      <w:r w:rsidR="00CE1A22">
        <w:t>,</w:t>
      </w:r>
      <w:r>
        <w:t xml:space="preserve"> groups of </w:t>
      </w:r>
      <w:r>
        <w:lastRenderedPageBreak/>
        <w:t xml:space="preserve">species, or social considerations, may require input from stakeholders with specific expertise </w:t>
      </w:r>
      <w:r w:rsidR="004B2E2F">
        <w:t>on</w:t>
      </w:r>
      <w:r>
        <w:t xml:space="preserve"> these topics. </w:t>
      </w:r>
      <w:proofErr w:type="gramStart"/>
      <w:r>
        <w:t>In order to</w:t>
      </w:r>
      <w:proofErr w:type="gramEnd"/>
      <w:r>
        <w:t xml:space="preserve"> ensure the robustness and legitimacy of these products, the bodies developing requests should ensure early stakeholder scrutiny and input to requests through systematic consultation</w:t>
      </w:r>
      <w:r w:rsidR="002952A8">
        <w:t>.</w:t>
      </w:r>
    </w:p>
    <w:p w14:paraId="3ACB9E56" w14:textId="77777777" w:rsidR="000B65A2" w:rsidRDefault="000B65A2" w:rsidP="000B65A2">
      <w:pPr>
        <w:spacing w:before="240" w:after="240"/>
        <w:jc w:val="both"/>
      </w:pPr>
      <w:r>
        <w:t xml:space="preserve">While recurrent advice is usually decided at the beginning of the year </w:t>
      </w:r>
      <w:proofErr w:type="gramStart"/>
      <w:r>
        <w:t>in order for</w:t>
      </w:r>
      <w:proofErr w:type="gramEnd"/>
      <w:r>
        <w:t xml:space="preserve"> ICES to organize their work accordingly, special requests are submitted intermittently throughout the year, making prioritization of requests and adequate stakeholder engagement in the current system more challenging. Built-in and regular consultation with stakeholders could make this prioritisation more easily attainable.</w:t>
      </w:r>
    </w:p>
    <w:p w14:paraId="6246377D" w14:textId="4058A2AA" w:rsidR="000B65A2" w:rsidRDefault="000B65A2" w:rsidP="002952A8">
      <w:pPr>
        <w:spacing w:before="240" w:after="240"/>
        <w:jc w:val="both"/>
      </w:pPr>
      <w:r>
        <w:t xml:space="preserve">In 2023, ICES held a </w:t>
      </w:r>
      <w:r w:rsidRPr="00D46C2B">
        <w:rPr>
          <w:b/>
          <w:bCs/>
        </w:rPr>
        <w:t>workshop on the implementation of its Stakeholder Engagement Strategy (WKSTIMP)</w:t>
      </w:r>
      <w:r>
        <w:rPr>
          <w:rStyle w:val="FootnoteReference"/>
        </w:rPr>
        <w:footnoteReference w:id="12"/>
      </w:r>
      <w:r>
        <w:t>. The WKSTIMP report emphasizes the need for a framework for stakeholder engagement within the ICES network, ensuring ICES science and scientific advice's credibility, legitimacy, and relevance. With the potential to reinforce the strategy, WKSTIMP identified possible external actions to bolster the goals and make the Strategy effective and operational. One of them is to enhance the participation of certain well-functioning and organised stakeholder groups (e.g., Advisory Councils) within different phases of the advisory process. This includes the shaping of the request by ICES clients (i.e. the European Commission).</w:t>
      </w:r>
    </w:p>
    <w:p w14:paraId="3AE3184F" w14:textId="5B6C9F38" w:rsidR="00E35676" w:rsidRPr="00CA5E49" w:rsidRDefault="00CB2362" w:rsidP="00CB2362">
      <w:pPr>
        <w:spacing w:before="240" w:after="240"/>
        <w:jc w:val="both"/>
        <w:rPr>
          <w:color w:val="244061" w:themeColor="accent1" w:themeShade="80"/>
          <w:sz w:val="24"/>
          <w:szCs w:val="24"/>
        </w:rPr>
      </w:pPr>
      <w:r>
        <w:rPr>
          <w:b/>
          <w:bCs/>
        </w:rPr>
        <w:br/>
      </w:r>
      <w:r w:rsidR="00CA5E49" w:rsidRPr="00CA5E49">
        <w:rPr>
          <w:color w:val="244061" w:themeColor="accent1" w:themeShade="80"/>
          <w:sz w:val="24"/>
          <w:szCs w:val="24"/>
        </w:rPr>
        <w:t xml:space="preserve">3 </w:t>
      </w:r>
      <w:r w:rsidR="00E831E7">
        <w:rPr>
          <w:color w:val="244061" w:themeColor="accent1" w:themeShade="80"/>
          <w:sz w:val="24"/>
          <w:szCs w:val="24"/>
        </w:rPr>
        <w:t>Advice</w:t>
      </w:r>
    </w:p>
    <w:p w14:paraId="00000018" w14:textId="22C8BE22" w:rsidR="003C0985" w:rsidRDefault="009F5936">
      <w:pPr>
        <w:spacing w:before="240" w:after="240"/>
        <w:jc w:val="both"/>
      </w:pPr>
      <w:r>
        <w:t xml:space="preserve">Considering the above, AC </w:t>
      </w:r>
      <w:r w:rsidR="007C6777">
        <w:t xml:space="preserve">members </w:t>
      </w:r>
      <w:r>
        <w:t xml:space="preserve">recommend that the EU as </w:t>
      </w:r>
      <w:r w:rsidR="005D0AED">
        <w:t xml:space="preserve">the </w:t>
      </w:r>
      <w:r>
        <w:t xml:space="preserve">requester of scientific advice to ICES establishes a </w:t>
      </w:r>
      <w:r w:rsidRPr="008E5E15">
        <w:rPr>
          <w:b/>
          <w:bCs/>
        </w:rPr>
        <w:t>mechanism for</w:t>
      </w:r>
      <w:r>
        <w:t xml:space="preserve"> </w:t>
      </w:r>
      <w:r>
        <w:rPr>
          <w:b/>
        </w:rPr>
        <w:t xml:space="preserve">early </w:t>
      </w:r>
      <w:r w:rsidR="00AD3478">
        <w:rPr>
          <w:b/>
        </w:rPr>
        <w:t>signalling</w:t>
      </w:r>
      <w:r>
        <w:rPr>
          <w:b/>
        </w:rPr>
        <w:t xml:space="preserve"> of </w:t>
      </w:r>
      <w:r w:rsidR="00051F22">
        <w:rPr>
          <w:b/>
        </w:rPr>
        <w:t xml:space="preserve">advice </w:t>
      </w:r>
      <w:r>
        <w:rPr>
          <w:b/>
        </w:rPr>
        <w:t xml:space="preserve">requests and a process </w:t>
      </w:r>
      <w:r w:rsidR="00017201">
        <w:rPr>
          <w:b/>
        </w:rPr>
        <w:t>for</w:t>
      </w:r>
      <w:r>
        <w:rPr>
          <w:b/>
        </w:rPr>
        <w:t xml:space="preserve"> engagement </w:t>
      </w:r>
      <w:r w:rsidR="00AA155D">
        <w:rPr>
          <w:b/>
        </w:rPr>
        <w:t>i</w:t>
      </w:r>
      <w:r>
        <w:rPr>
          <w:b/>
        </w:rPr>
        <w:t xml:space="preserve">n </w:t>
      </w:r>
      <w:r w:rsidR="00AA155D">
        <w:rPr>
          <w:b/>
        </w:rPr>
        <w:t xml:space="preserve">scientific advice </w:t>
      </w:r>
      <w:r>
        <w:rPr>
          <w:b/>
        </w:rPr>
        <w:t>request formulation</w:t>
      </w:r>
      <w:r>
        <w:t xml:space="preserve"> in a </w:t>
      </w:r>
      <w:r w:rsidR="00051F22" w:rsidRPr="00051F22">
        <w:rPr>
          <w:b/>
          <w:bCs/>
        </w:rPr>
        <w:t xml:space="preserve">structured </w:t>
      </w:r>
      <w:r>
        <w:rPr>
          <w:b/>
        </w:rPr>
        <w:t>step-by-step</w:t>
      </w:r>
      <w:r w:rsidR="001A5299">
        <w:rPr>
          <w:b/>
        </w:rPr>
        <w:t xml:space="preserve"> approach</w:t>
      </w:r>
      <w:r w:rsidR="00192F81">
        <w:rPr>
          <w:b/>
        </w:rPr>
        <w:t xml:space="preserve">, </w:t>
      </w:r>
      <w:r w:rsidR="00890151" w:rsidRPr="00B61BCF">
        <w:rPr>
          <w:bCs/>
        </w:rPr>
        <w:t xml:space="preserve">by </w:t>
      </w:r>
      <w:r w:rsidR="00567814" w:rsidRPr="00B61BCF">
        <w:rPr>
          <w:bCs/>
        </w:rPr>
        <w:t>initially</w:t>
      </w:r>
      <w:r w:rsidR="006B02C7" w:rsidRPr="00B61BCF">
        <w:rPr>
          <w:bCs/>
        </w:rPr>
        <w:t xml:space="preserve"> </w:t>
      </w:r>
      <w:r w:rsidR="0018264C" w:rsidRPr="00B61BCF">
        <w:rPr>
          <w:bCs/>
        </w:rPr>
        <w:t>focusing</w:t>
      </w:r>
      <w:r w:rsidR="00B61BCF">
        <w:rPr>
          <w:bCs/>
        </w:rPr>
        <w:t xml:space="preserve"> on</w:t>
      </w:r>
      <w:r w:rsidR="00890151" w:rsidRPr="00B61BCF">
        <w:rPr>
          <w:bCs/>
        </w:rPr>
        <w:t xml:space="preserve"> special advice and potentially moving to recurring advice</w:t>
      </w:r>
      <w:r w:rsidR="006B02C7" w:rsidRPr="00B61BCF">
        <w:rPr>
          <w:bCs/>
        </w:rPr>
        <w:t xml:space="preserve"> in the future</w:t>
      </w:r>
      <w:r>
        <w:t xml:space="preserve">. </w:t>
      </w:r>
      <w:r>
        <w:rPr>
          <w:b/>
        </w:rPr>
        <w:t xml:space="preserve">Enhanced transparency and information-sharing with </w:t>
      </w:r>
      <w:r w:rsidR="002D6E16">
        <w:rPr>
          <w:b/>
        </w:rPr>
        <w:t>Advisory Councils</w:t>
      </w:r>
      <w:r>
        <w:rPr>
          <w:b/>
        </w:rPr>
        <w:t xml:space="preserve"> </w:t>
      </w:r>
      <w:r w:rsidR="0071467E">
        <w:t xml:space="preserve">could </w:t>
      </w:r>
      <w:r>
        <w:t xml:space="preserve">be the first step, eventually developing into </w:t>
      </w:r>
      <w:r w:rsidR="00BE5849">
        <w:t xml:space="preserve">a </w:t>
      </w:r>
      <w:r w:rsidRPr="006126B2">
        <w:rPr>
          <w:b/>
          <w:bCs/>
        </w:rPr>
        <w:t>systematic consultation</w:t>
      </w:r>
      <w:r>
        <w:t xml:space="preserve"> </w:t>
      </w:r>
      <w:r w:rsidR="00162DF1">
        <w:t>with the relevant</w:t>
      </w:r>
      <w:r>
        <w:t xml:space="preserve"> Advisory Councils.</w:t>
      </w:r>
    </w:p>
    <w:p w14:paraId="285D51AE" w14:textId="7E92D58F" w:rsidR="006A1AD0" w:rsidRDefault="006A1AD0" w:rsidP="006A1AD0">
      <w:pPr>
        <w:spacing w:before="240" w:after="240"/>
      </w:pPr>
      <w:r>
        <w:t xml:space="preserve">In the </w:t>
      </w:r>
      <w:r>
        <w:rPr>
          <w:b/>
        </w:rPr>
        <w:t>short term</w:t>
      </w:r>
      <w:r>
        <w:t xml:space="preserve">, </w:t>
      </w:r>
      <w:r w:rsidR="00BC79AF">
        <w:t>we advi</w:t>
      </w:r>
      <w:r w:rsidR="00905796">
        <w:t>se</w:t>
      </w:r>
      <w:r w:rsidR="000E180D">
        <w:t xml:space="preserve"> that</w:t>
      </w:r>
      <w:r>
        <w:t>:</w:t>
      </w:r>
    </w:p>
    <w:p w14:paraId="591BC01D" w14:textId="713ACAF2" w:rsidR="005C0636" w:rsidRDefault="000E180D" w:rsidP="000E180D">
      <w:pPr>
        <w:pStyle w:val="ListParagraph"/>
        <w:numPr>
          <w:ilvl w:val="0"/>
          <w:numId w:val="2"/>
        </w:numPr>
        <w:spacing w:before="240" w:after="240"/>
        <w:jc w:val="both"/>
      </w:pPr>
      <w:r>
        <w:t xml:space="preserve">The Commission </w:t>
      </w:r>
      <w:r w:rsidRPr="00036E6F">
        <w:rPr>
          <w:b/>
          <w:bCs/>
        </w:rPr>
        <w:t>provides feedback and discusses</w:t>
      </w:r>
      <w:r>
        <w:t xml:space="preserve"> the present AC </w:t>
      </w:r>
      <w:r w:rsidR="00BF4903">
        <w:t xml:space="preserve">recommendations </w:t>
      </w:r>
      <w:r>
        <w:t xml:space="preserve">on stakeholder engagement in request formulation </w:t>
      </w:r>
      <w:r w:rsidRPr="00BF4903">
        <w:rPr>
          <w:i/>
          <w:iCs/>
        </w:rPr>
        <w:t>(this document).</w:t>
      </w:r>
    </w:p>
    <w:p w14:paraId="156FCE96" w14:textId="0F15A36C" w:rsidR="000E180D" w:rsidRDefault="000E180D" w:rsidP="000E180D">
      <w:pPr>
        <w:pStyle w:val="ListParagraph"/>
        <w:numPr>
          <w:ilvl w:val="0"/>
          <w:numId w:val="2"/>
        </w:numPr>
        <w:spacing w:before="240" w:after="240"/>
        <w:jc w:val="both"/>
      </w:pPr>
      <w:r>
        <w:t xml:space="preserve">Once this feedback is received, </w:t>
      </w:r>
      <w:r w:rsidR="0071265D">
        <w:t xml:space="preserve">we invite </w:t>
      </w:r>
      <w:r>
        <w:t xml:space="preserve">the EU Commission </w:t>
      </w:r>
      <w:r w:rsidR="0071265D">
        <w:t>to</w:t>
      </w:r>
      <w:r>
        <w:t xml:space="preserve"> proactively engage with ACs and </w:t>
      </w:r>
      <w:r w:rsidRPr="00036E6F">
        <w:rPr>
          <w:b/>
          <w:bCs/>
        </w:rPr>
        <w:t>agree on the modes of engagement, format, and timeline</w:t>
      </w:r>
      <w:r>
        <w:t xml:space="preserve"> for both, the mechanism for early </w:t>
      </w:r>
      <w:r w:rsidR="004A1FFF">
        <w:t>signalling</w:t>
      </w:r>
      <w:r>
        <w:t xml:space="preserve"> of potential advice requests, and broader stakeholder engagement in advice processes.</w:t>
      </w:r>
    </w:p>
    <w:p w14:paraId="22763633" w14:textId="160728B1" w:rsidR="00972FB2" w:rsidRDefault="00972FB2" w:rsidP="00972FB2">
      <w:pPr>
        <w:pStyle w:val="ListParagraph"/>
        <w:numPr>
          <w:ilvl w:val="0"/>
          <w:numId w:val="2"/>
        </w:numPr>
        <w:spacing w:before="240" w:after="240"/>
        <w:jc w:val="both"/>
      </w:pPr>
      <w:r>
        <w:t xml:space="preserve">The Commission and the ACs </w:t>
      </w:r>
      <w:r w:rsidRPr="00036E6F">
        <w:rPr>
          <w:b/>
          <w:bCs/>
        </w:rPr>
        <w:t xml:space="preserve">discuss, draft, and agree on </w:t>
      </w:r>
      <w:r w:rsidR="005C0636">
        <w:rPr>
          <w:b/>
          <w:bCs/>
        </w:rPr>
        <w:t xml:space="preserve">the </w:t>
      </w:r>
      <w:r w:rsidRPr="00036E6F">
        <w:rPr>
          <w:b/>
          <w:bCs/>
        </w:rPr>
        <w:t>principles for stakeholder engagement</w:t>
      </w:r>
      <w:r>
        <w:t xml:space="preserve"> </w:t>
      </w:r>
      <w:r w:rsidR="005C0636">
        <w:t>i</w:t>
      </w:r>
      <w:r>
        <w:t xml:space="preserve">n advice request formulation </w:t>
      </w:r>
      <w:r w:rsidRPr="004A1FFF">
        <w:t xml:space="preserve">(see </w:t>
      </w:r>
      <w:r w:rsidR="00807A22" w:rsidRPr="004A1FFF">
        <w:t>first draft of these principles</w:t>
      </w:r>
      <w:r w:rsidRPr="004A1FFF">
        <w:t xml:space="preserve"> in Annex).</w:t>
      </w:r>
    </w:p>
    <w:p w14:paraId="1F13356A" w14:textId="2A00A1BF" w:rsidR="006A1AD0" w:rsidRDefault="006A1AD0" w:rsidP="006A1AD0">
      <w:pPr>
        <w:pStyle w:val="ListParagraph"/>
        <w:numPr>
          <w:ilvl w:val="0"/>
          <w:numId w:val="2"/>
        </w:numPr>
        <w:spacing w:before="240" w:after="240"/>
      </w:pPr>
      <w:r>
        <w:lastRenderedPageBreak/>
        <w:t>T</w:t>
      </w:r>
      <w:r w:rsidR="008142CF">
        <w:t>he Commission</w:t>
      </w:r>
      <w:r>
        <w:t xml:space="preserve"> consider</w:t>
      </w:r>
      <w:r w:rsidR="008142CF">
        <w:t>s</w:t>
      </w:r>
      <w:r>
        <w:t xml:space="preserve"> granting ACs</w:t>
      </w:r>
      <w:r w:rsidR="008142CF">
        <w:t xml:space="preserve"> the</w:t>
      </w:r>
      <w:r>
        <w:t xml:space="preserve"> </w:t>
      </w:r>
      <w:proofErr w:type="spellStart"/>
      <w:r w:rsidRPr="005A623F">
        <w:rPr>
          <w:b/>
          <w:bCs/>
        </w:rPr>
        <w:t>observership</w:t>
      </w:r>
      <w:proofErr w:type="spellEnd"/>
      <w:r w:rsidRPr="005A623F">
        <w:rPr>
          <w:b/>
          <w:bCs/>
        </w:rPr>
        <w:t xml:space="preserve"> status at</w:t>
      </w:r>
      <w:r w:rsidR="008142CF" w:rsidRPr="005A623F">
        <w:rPr>
          <w:b/>
          <w:bCs/>
        </w:rPr>
        <w:t xml:space="preserve"> </w:t>
      </w:r>
      <w:r w:rsidR="002A429D">
        <w:rPr>
          <w:b/>
          <w:bCs/>
        </w:rPr>
        <w:t xml:space="preserve">MIRIA </w:t>
      </w:r>
      <w:r w:rsidRPr="005A623F">
        <w:rPr>
          <w:b/>
          <w:bCs/>
        </w:rPr>
        <w:t>and/or organising a debriefing session</w:t>
      </w:r>
      <w:r w:rsidR="005A623F">
        <w:rPr>
          <w:b/>
          <w:bCs/>
        </w:rPr>
        <w:t xml:space="preserve"> from MIRIA,</w:t>
      </w:r>
      <w:r>
        <w:t xml:space="preserve"> where DG MARE updates ACs about</w:t>
      </w:r>
      <w:r w:rsidR="002A429D">
        <w:t xml:space="preserve"> the latest</w:t>
      </w:r>
      <w:r>
        <w:t xml:space="preserve"> developments in </w:t>
      </w:r>
      <w:r w:rsidR="002A429D">
        <w:t>the said forum</w:t>
      </w:r>
      <w:r>
        <w:t>.</w:t>
      </w:r>
    </w:p>
    <w:p w14:paraId="732AA838" w14:textId="1DED6DBA" w:rsidR="00366882" w:rsidRDefault="00366882" w:rsidP="00366882">
      <w:pPr>
        <w:pStyle w:val="ListParagraph"/>
        <w:numPr>
          <w:ilvl w:val="0"/>
          <w:numId w:val="2"/>
        </w:numPr>
        <w:spacing w:before="240" w:after="240"/>
        <w:jc w:val="both"/>
      </w:pPr>
      <w:r>
        <w:t xml:space="preserve">The Commission arranges a </w:t>
      </w:r>
      <w:r w:rsidRPr="00036E6F">
        <w:rPr>
          <w:b/>
          <w:bCs/>
        </w:rPr>
        <w:t>dedicated annual meeting between DG MARE and ACs in December</w:t>
      </w:r>
      <w:r w:rsidR="0017565D">
        <w:rPr>
          <w:b/>
          <w:bCs/>
        </w:rPr>
        <w:t xml:space="preserve"> or early January</w:t>
      </w:r>
      <w:r>
        <w:t xml:space="preserve"> to preliminarily discuss request priorities and get a common understanding of the anticipated timeline and potential issues around the EU requests.</w:t>
      </w:r>
    </w:p>
    <w:p w14:paraId="6BA6F177" w14:textId="0B638C9D" w:rsidR="007F7B39" w:rsidRDefault="007F7B39" w:rsidP="00B32121">
      <w:pPr>
        <w:pStyle w:val="ListParagraph"/>
        <w:numPr>
          <w:ilvl w:val="0"/>
          <w:numId w:val="2"/>
        </w:numPr>
        <w:spacing w:before="240" w:after="240"/>
        <w:jc w:val="both"/>
      </w:pPr>
      <w:r>
        <w:t xml:space="preserve">The Commission, through consulting with other ICES clients, seeks to arrange </w:t>
      </w:r>
      <w:r w:rsidRPr="00036E6F">
        <w:rPr>
          <w:b/>
          <w:bCs/>
        </w:rPr>
        <w:t xml:space="preserve">a joint </w:t>
      </w:r>
      <w:r w:rsidR="00A311FC">
        <w:rPr>
          <w:b/>
          <w:bCs/>
        </w:rPr>
        <w:t xml:space="preserve">(half-day) </w:t>
      </w:r>
      <w:r w:rsidRPr="00036E6F">
        <w:rPr>
          <w:b/>
          <w:bCs/>
        </w:rPr>
        <w:t>meeting between MIRIA and MIACO members in Copenhagen</w:t>
      </w:r>
      <w:r>
        <w:t xml:space="preserve">, </w:t>
      </w:r>
      <w:r w:rsidR="00814E07">
        <w:t xml:space="preserve">to present and discuss research priorities and get a common understanding of the timeline of </w:t>
      </w:r>
      <w:r>
        <w:t>request priorities for the year ahead.</w:t>
      </w:r>
    </w:p>
    <w:p w14:paraId="639F6605" w14:textId="77777777" w:rsidR="00885089" w:rsidRDefault="00885089" w:rsidP="00885089">
      <w:pPr>
        <w:pStyle w:val="ListParagraph"/>
        <w:numPr>
          <w:ilvl w:val="0"/>
          <w:numId w:val="2"/>
        </w:numPr>
        <w:spacing w:before="240" w:after="240"/>
        <w:jc w:val="both"/>
      </w:pPr>
      <w:r>
        <w:t xml:space="preserve">The Commission </w:t>
      </w:r>
      <w:r w:rsidRPr="00A74858">
        <w:rPr>
          <w:b/>
          <w:bCs/>
        </w:rPr>
        <w:t>considers and discusses the potential necessity for amending the Commission’s Terms of Reference</w:t>
      </w:r>
      <w:r>
        <w:t xml:space="preserve"> for scientific requests to ICES to include stakeholder consultation as a standard step in the procedure of request formulation.</w:t>
      </w:r>
    </w:p>
    <w:p w14:paraId="77FF57FC" w14:textId="1A8CE081" w:rsidR="006A1AD0" w:rsidRDefault="006A1AD0" w:rsidP="006A1AD0">
      <w:pPr>
        <w:spacing w:before="240" w:after="240"/>
      </w:pPr>
      <w:r>
        <w:t xml:space="preserve">In the </w:t>
      </w:r>
      <w:r w:rsidR="00017440" w:rsidRPr="00017440">
        <w:rPr>
          <w:b/>
          <w:bCs/>
        </w:rPr>
        <w:t>medium to</w:t>
      </w:r>
      <w:r w:rsidR="00017440">
        <w:t xml:space="preserve"> </w:t>
      </w:r>
      <w:r>
        <w:rPr>
          <w:b/>
        </w:rPr>
        <w:t>long term</w:t>
      </w:r>
      <w:r>
        <w:t xml:space="preserve">, </w:t>
      </w:r>
      <w:r w:rsidR="00BC79AF">
        <w:t>we adv</w:t>
      </w:r>
      <w:r w:rsidR="007B63BC">
        <w:t>i</w:t>
      </w:r>
      <w:r w:rsidR="00BC79AF">
        <w:t>se</w:t>
      </w:r>
      <w:r>
        <w:t>:</w:t>
      </w:r>
    </w:p>
    <w:p w14:paraId="278A95FC" w14:textId="77777777" w:rsidR="005E7FE8" w:rsidRDefault="006A1AD0" w:rsidP="005E7FE8">
      <w:pPr>
        <w:pStyle w:val="ListParagraph"/>
        <w:numPr>
          <w:ilvl w:val="0"/>
          <w:numId w:val="9"/>
        </w:numPr>
        <w:spacing w:before="240" w:after="240"/>
      </w:pPr>
      <w:r>
        <w:t xml:space="preserve">To expand successful stakeholder engagement mechanisms to </w:t>
      </w:r>
      <w:r w:rsidRPr="00017440">
        <w:rPr>
          <w:b/>
          <w:bCs/>
        </w:rPr>
        <w:t>recurrent advice on fishing opportunities</w:t>
      </w:r>
      <w:r>
        <w:t>, in a move towards EBFM implementation.</w:t>
      </w:r>
    </w:p>
    <w:p w14:paraId="67A5E913" w14:textId="77777777" w:rsidR="005E7FE8" w:rsidRDefault="006A1AD0" w:rsidP="005E7FE8">
      <w:pPr>
        <w:pStyle w:val="ListParagraph"/>
        <w:numPr>
          <w:ilvl w:val="0"/>
          <w:numId w:val="9"/>
        </w:numPr>
        <w:spacing w:before="240" w:after="240"/>
      </w:pPr>
      <w:r>
        <w:t>To agree and jointly develop a consistent/systematic stakeholder consultation process in line with guidelines and engagement principles.</w:t>
      </w:r>
    </w:p>
    <w:p w14:paraId="2648AF53" w14:textId="632B72C1" w:rsidR="005F717F" w:rsidRDefault="005F717F" w:rsidP="005F717F">
      <w:pPr>
        <w:pStyle w:val="ListParagraph"/>
        <w:numPr>
          <w:ilvl w:val="0"/>
          <w:numId w:val="9"/>
        </w:numPr>
        <w:spacing w:before="240" w:after="240"/>
        <w:jc w:val="both"/>
      </w:pPr>
      <w:r>
        <w:t xml:space="preserve">In relation to </w:t>
      </w:r>
      <w:r w:rsidRPr="00A74858">
        <w:rPr>
          <w:b/>
          <w:bCs/>
        </w:rPr>
        <w:t>stocks shared with third countries</w:t>
      </w:r>
      <w:r>
        <w:t xml:space="preserve">, we recommend that the Commission considers expanding systematic stakeholder engagement to those governance levels as well, be it through existing </w:t>
      </w:r>
      <w:r w:rsidR="002B2A1C">
        <w:t>f</w:t>
      </w:r>
      <w:r>
        <w:t>orums (such a</w:t>
      </w:r>
      <w:r w:rsidR="002B2A1C">
        <w:t>s the</w:t>
      </w:r>
      <w:r>
        <w:t xml:space="preserve"> Inter-AC Brexit Forum), individual ACs, or new platforms. </w:t>
      </w:r>
    </w:p>
    <w:p w14:paraId="7D2F9A8B" w14:textId="1A9BC6F3" w:rsidR="005F717F" w:rsidRDefault="005F717F" w:rsidP="005F717F">
      <w:pPr>
        <w:pStyle w:val="ListParagraph"/>
        <w:numPr>
          <w:ilvl w:val="0"/>
          <w:numId w:val="9"/>
        </w:numPr>
        <w:spacing w:before="240" w:after="240"/>
        <w:jc w:val="both"/>
      </w:pPr>
      <w:r>
        <w:t xml:space="preserve">In the same vein, we call on the Member States involved in annual negotiation processes to ensure that a </w:t>
      </w:r>
      <w:r w:rsidRPr="00342046">
        <w:rPr>
          <w:b/>
          <w:bCs/>
        </w:rPr>
        <w:t>fair, inclusive, and representative stakeholder involvement</w:t>
      </w:r>
      <w:r>
        <w:t xml:space="preserve"> is ensured when discussing requests for special advice stemming from those negotiations.</w:t>
      </w:r>
    </w:p>
    <w:p w14:paraId="1AC747C5" w14:textId="1C02801D" w:rsidR="008B3E91" w:rsidRDefault="006A1AD0" w:rsidP="00360FBA">
      <w:pPr>
        <w:pStyle w:val="ListParagraph"/>
        <w:numPr>
          <w:ilvl w:val="0"/>
          <w:numId w:val="9"/>
        </w:numPr>
        <w:spacing w:before="240" w:after="240"/>
      </w:pPr>
      <w:r>
        <w:t xml:space="preserve">To consider </w:t>
      </w:r>
      <w:r w:rsidRPr="008B3E91">
        <w:rPr>
          <w:b/>
          <w:bCs/>
        </w:rPr>
        <w:t>involving dedicated researchers</w:t>
      </w:r>
      <w:r>
        <w:t xml:space="preserve"> (externally or internally) </w:t>
      </w:r>
      <w:r w:rsidRPr="008B3E91">
        <w:rPr>
          <w:b/>
          <w:bCs/>
        </w:rPr>
        <w:t>in ACs</w:t>
      </w:r>
      <w:r>
        <w:t xml:space="preserve"> to enhance fluidity between research, stakeholder, and policy bodies, and to improve information transfer between fields, as well as to enhance AC representation and proactive involvement in scientific meetings.</w:t>
      </w:r>
    </w:p>
    <w:p w14:paraId="574831D9" w14:textId="1B4AF873" w:rsidR="00B47733" w:rsidRDefault="00E8087F" w:rsidP="00B47733">
      <w:pPr>
        <w:spacing w:before="240" w:after="240"/>
        <w:jc w:val="both"/>
      </w:pPr>
      <w:r>
        <w:t>With full</w:t>
      </w:r>
      <w:r w:rsidR="008D6879">
        <w:t xml:space="preserve"> aware</w:t>
      </w:r>
      <w:r>
        <w:t>ness</w:t>
      </w:r>
      <w:r w:rsidR="008D6879">
        <w:t xml:space="preserve"> of the complexity and </w:t>
      </w:r>
      <w:r w:rsidR="0018026B">
        <w:t>weight</w:t>
      </w:r>
      <w:r w:rsidR="008D6879">
        <w:t xml:space="preserve"> of this initiative, w</w:t>
      </w:r>
      <w:r w:rsidR="002305F3">
        <w:t xml:space="preserve">e acknowledge and thank the Commission for </w:t>
      </w:r>
      <w:r w:rsidR="000C05F4">
        <w:t>their positive engagement with Advisory Council</w:t>
      </w:r>
      <w:r w:rsidR="00316AE3">
        <w:t>s’ stakeholders</w:t>
      </w:r>
      <w:r w:rsidR="000C05F4">
        <w:t xml:space="preserve"> thus</w:t>
      </w:r>
      <w:r>
        <w:t xml:space="preserve"> far</w:t>
      </w:r>
      <w:r w:rsidR="000C05F4">
        <w:t xml:space="preserve"> </w:t>
      </w:r>
      <w:r w:rsidR="00DD07A7">
        <w:t>and</w:t>
      </w:r>
      <w:r w:rsidR="008D6879">
        <w:t xml:space="preserve"> </w:t>
      </w:r>
      <w:r w:rsidR="00DD07A7">
        <w:t xml:space="preserve">look forward to </w:t>
      </w:r>
      <w:r w:rsidR="008D6879">
        <w:t>enhanced</w:t>
      </w:r>
      <w:r w:rsidR="003235DA">
        <w:t xml:space="preserve"> future</w:t>
      </w:r>
      <w:r w:rsidR="008D6879">
        <w:t xml:space="preserve"> engagement </w:t>
      </w:r>
      <w:r w:rsidR="003235DA">
        <w:t>with the aim of bringing</w:t>
      </w:r>
      <w:r w:rsidR="008D6879">
        <w:t xml:space="preserve"> this important work </w:t>
      </w:r>
      <w:r w:rsidR="00895EF5">
        <w:t xml:space="preserve">to </w:t>
      </w:r>
      <w:r w:rsidR="003235DA">
        <w:t>fruition</w:t>
      </w:r>
      <w:r w:rsidR="00895EF5">
        <w:t xml:space="preserve">. For further questions or comments, please </w:t>
      </w:r>
      <w:r w:rsidR="003235DA">
        <w:t xml:space="preserve">do not hesitate to </w:t>
      </w:r>
      <w:r w:rsidR="00895EF5">
        <w:t>contact our Secretariats.</w:t>
      </w:r>
    </w:p>
    <w:p w14:paraId="37D63AD0" w14:textId="77777777" w:rsidR="00B47733" w:rsidRDefault="00B47733">
      <w:r>
        <w:br w:type="page"/>
      </w:r>
    </w:p>
    <w:p w14:paraId="785CAFE2" w14:textId="51D5B7AE" w:rsidR="00942FA5" w:rsidRPr="00A92788" w:rsidRDefault="00B47733" w:rsidP="00942FA5">
      <w:pPr>
        <w:spacing w:before="240" w:after="240"/>
        <w:jc w:val="center"/>
        <w:rPr>
          <w:b/>
          <w:bCs/>
          <w:sz w:val="28"/>
          <w:szCs w:val="28"/>
        </w:rPr>
      </w:pPr>
      <w:r>
        <w:rPr>
          <w:noProof/>
        </w:rPr>
        <w:lastRenderedPageBreak/>
        <w:br/>
      </w:r>
      <w:r w:rsidR="00942FA5" w:rsidRPr="00A92788">
        <w:rPr>
          <w:b/>
          <w:bCs/>
          <w:sz w:val="28"/>
          <w:szCs w:val="28"/>
        </w:rPr>
        <w:t>ANNEX</w:t>
      </w:r>
    </w:p>
    <w:p w14:paraId="16D4694A" w14:textId="195B2471" w:rsidR="00942FA5" w:rsidRPr="00825CF4" w:rsidRDefault="00942FA5" w:rsidP="00942FA5">
      <w:pPr>
        <w:spacing w:before="240" w:after="240"/>
        <w:rPr>
          <w:b/>
        </w:rPr>
      </w:pPr>
      <w:r>
        <w:rPr>
          <w:b/>
        </w:rPr>
        <w:br/>
      </w:r>
      <w:r w:rsidRPr="00A61620">
        <w:rPr>
          <w:b/>
        </w:rPr>
        <w:t>P</w:t>
      </w:r>
      <w:r w:rsidR="00293327" w:rsidRPr="00A61620">
        <w:rPr>
          <w:b/>
        </w:rPr>
        <w:t>roposed</w:t>
      </w:r>
      <w:r w:rsidR="00293327">
        <w:rPr>
          <w:b/>
        </w:rPr>
        <w:t xml:space="preserve"> p</w:t>
      </w:r>
      <w:r>
        <w:rPr>
          <w:b/>
        </w:rPr>
        <w:t>rinciples</w:t>
      </w:r>
      <w:r w:rsidRPr="00825CF4">
        <w:rPr>
          <w:b/>
        </w:rPr>
        <w:t xml:space="preserve"> for stakeholder engagement and input:</w:t>
      </w:r>
    </w:p>
    <w:p w14:paraId="6DD7FCD8" w14:textId="4B659D15" w:rsidR="00942FA5" w:rsidRDefault="00942FA5" w:rsidP="006A01BF">
      <w:pPr>
        <w:pStyle w:val="ListParagraph"/>
        <w:numPr>
          <w:ilvl w:val="0"/>
          <w:numId w:val="6"/>
        </w:numPr>
        <w:spacing w:before="240" w:after="240"/>
        <w:jc w:val="both"/>
      </w:pPr>
      <w:r>
        <w:t>Adhere, as much as possible, to the set deadlines for input, while also taking into account the</w:t>
      </w:r>
      <w:r w:rsidR="002E6DD4">
        <w:t xml:space="preserve"> inherent</w:t>
      </w:r>
      <w:r>
        <w:t xml:space="preserve"> complexity and length of AC consultation </w:t>
      </w:r>
      <w:proofErr w:type="gramStart"/>
      <w:r>
        <w:t>processes;</w:t>
      </w:r>
      <w:proofErr w:type="gramEnd"/>
    </w:p>
    <w:p w14:paraId="120BD6D1" w14:textId="5552150E" w:rsidR="00942FA5" w:rsidRDefault="00942FA5" w:rsidP="006A01BF">
      <w:pPr>
        <w:pStyle w:val="ListParagraph"/>
        <w:numPr>
          <w:ilvl w:val="0"/>
          <w:numId w:val="6"/>
        </w:numPr>
        <w:spacing w:before="240" w:after="240"/>
        <w:jc w:val="both"/>
      </w:pPr>
      <w:r>
        <w:t xml:space="preserve">Maintain any input within the lines of existing guidelines and set objectives of ICES and </w:t>
      </w:r>
      <w:proofErr w:type="gramStart"/>
      <w:r>
        <w:t>EU;</w:t>
      </w:r>
      <w:proofErr w:type="gramEnd"/>
    </w:p>
    <w:p w14:paraId="6B3CDC93" w14:textId="1804473B" w:rsidR="00942FA5" w:rsidRDefault="00942FA5" w:rsidP="006A01BF">
      <w:pPr>
        <w:pStyle w:val="ListParagraph"/>
        <w:numPr>
          <w:ilvl w:val="0"/>
          <w:numId w:val="6"/>
        </w:numPr>
        <w:spacing w:before="240" w:after="240"/>
        <w:jc w:val="both"/>
      </w:pPr>
      <w:r>
        <w:t>When representing an AC as an entity composed of various stakeholders, ensure that representation is agreed by the executive body of the AC and that the position/inputs presented are agreed beforehand and have a mandate by the respective members. When positions are split, be clear whose position is being presented.</w:t>
      </w:r>
    </w:p>
    <w:p w14:paraId="18E6ECA4" w14:textId="77777777" w:rsidR="00942FA5" w:rsidRPr="00D818A6" w:rsidRDefault="00942FA5" w:rsidP="006A01BF">
      <w:pPr>
        <w:pStyle w:val="ListParagraph"/>
        <w:numPr>
          <w:ilvl w:val="0"/>
          <w:numId w:val="6"/>
        </w:numPr>
        <w:spacing w:before="240" w:after="240"/>
        <w:jc w:val="both"/>
        <w:rPr>
          <w:lang/>
        </w:rPr>
      </w:pPr>
      <w:r w:rsidRPr="00300B74">
        <w:rPr>
          <w:lang/>
        </w:rPr>
        <w:t>Engage a broad range of stakeholders, including underrepresented groups, to ensure diverse perspectives and knowledge are included.</w:t>
      </w:r>
      <w:r>
        <w:rPr>
          <w:lang/>
        </w:rPr>
        <w:t xml:space="preserve"> </w:t>
      </w:r>
      <w:r w:rsidRPr="00300B74">
        <w:rPr>
          <w:lang/>
        </w:rPr>
        <w:t>Recognize the different roles and expertise that various stakeholders bring to the table.</w:t>
      </w:r>
    </w:p>
    <w:p w14:paraId="6E10FF28" w14:textId="77777777" w:rsidR="00942FA5" w:rsidRDefault="00942FA5" w:rsidP="006A01BF">
      <w:pPr>
        <w:pStyle w:val="ListParagraph"/>
        <w:numPr>
          <w:ilvl w:val="0"/>
          <w:numId w:val="6"/>
        </w:numPr>
        <w:spacing w:before="240" w:after="240"/>
        <w:jc w:val="both"/>
      </w:pPr>
      <w:r>
        <w:t>When arranging and engaging in stakeholder interactions, be aware of the various financial, technical, language and capacity limitations of the counterparts.</w:t>
      </w:r>
    </w:p>
    <w:p w14:paraId="1D19887C" w14:textId="77777777" w:rsidR="00942FA5" w:rsidRDefault="00942FA5" w:rsidP="006A01BF">
      <w:pPr>
        <w:pStyle w:val="ListParagraph"/>
        <w:numPr>
          <w:ilvl w:val="0"/>
          <w:numId w:val="6"/>
        </w:numPr>
        <w:spacing w:before="240" w:after="240"/>
        <w:jc w:val="both"/>
        <w:rPr>
          <w:lang/>
        </w:rPr>
      </w:pPr>
      <w:r w:rsidRPr="00300B74">
        <w:rPr>
          <w:lang/>
        </w:rPr>
        <w:t>Clearly communicate the purpose, process, and potential outcomes of the engagement.</w:t>
      </w:r>
      <w:r>
        <w:rPr>
          <w:lang/>
        </w:rPr>
        <w:t xml:space="preserve"> </w:t>
      </w:r>
      <w:r w:rsidRPr="00300B74">
        <w:rPr>
          <w:lang/>
        </w:rPr>
        <w:t xml:space="preserve">Be open about how stakeholder input will be used in </w:t>
      </w:r>
      <w:r>
        <w:rPr>
          <w:lang/>
        </w:rPr>
        <w:t>the relevant</w:t>
      </w:r>
      <w:r w:rsidRPr="00300B74">
        <w:rPr>
          <w:lang/>
        </w:rPr>
        <w:t xml:space="preserve"> processes.</w:t>
      </w:r>
    </w:p>
    <w:p w14:paraId="7795C6B3" w14:textId="488A9342" w:rsidR="00942FA5" w:rsidRDefault="00942FA5" w:rsidP="006A01BF">
      <w:pPr>
        <w:pStyle w:val="ListParagraph"/>
        <w:numPr>
          <w:ilvl w:val="0"/>
          <w:numId w:val="6"/>
        </w:numPr>
        <w:spacing w:before="240" w:after="240"/>
        <w:jc w:val="both"/>
        <w:rPr>
          <w:lang/>
        </w:rPr>
      </w:pPr>
      <w:r w:rsidRPr="00300B74">
        <w:rPr>
          <w:lang/>
        </w:rPr>
        <w:t>Acknowledge and value the expertise and contributions of all stakeholders</w:t>
      </w:r>
      <w:r w:rsidR="001A5EAE">
        <w:rPr>
          <w:lang/>
        </w:rPr>
        <w:t xml:space="preserve"> and other parties</w:t>
      </w:r>
      <w:r w:rsidRPr="00300B74">
        <w:rPr>
          <w:lang/>
        </w:rPr>
        <w:t>.</w:t>
      </w:r>
      <w:r>
        <w:rPr>
          <w:lang/>
        </w:rPr>
        <w:t xml:space="preserve"> </w:t>
      </w:r>
      <w:r w:rsidRPr="00300B74">
        <w:rPr>
          <w:lang/>
        </w:rPr>
        <w:t>Build trust through consistent and honest communication, and by recognizing and addressing power dynamics.</w:t>
      </w:r>
    </w:p>
    <w:p w14:paraId="47F4B012" w14:textId="77777777" w:rsidR="00942FA5" w:rsidRDefault="00942FA5" w:rsidP="006A01BF">
      <w:pPr>
        <w:pStyle w:val="ListParagraph"/>
        <w:numPr>
          <w:ilvl w:val="0"/>
          <w:numId w:val="6"/>
        </w:numPr>
        <w:spacing w:before="240" w:after="240"/>
        <w:jc w:val="both"/>
        <w:rPr>
          <w:lang/>
        </w:rPr>
      </w:pPr>
      <w:r w:rsidRPr="00300B74">
        <w:rPr>
          <w:lang/>
        </w:rPr>
        <w:t>Maintain open, two-way communication channels throughout the engagement process.</w:t>
      </w:r>
      <w:r>
        <w:rPr>
          <w:lang/>
        </w:rPr>
        <w:t xml:space="preserve"> </w:t>
      </w:r>
      <w:r w:rsidRPr="00300B74">
        <w:rPr>
          <w:lang/>
        </w:rPr>
        <w:t>Provide regular updates and seek feedback to ensure stakeholders are kept informed and can meaningfully participate.</w:t>
      </w:r>
    </w:p>
    <w:p w14:paraId="111383E0" w14:textId="13BFE360" w:rsidR="00942FA5" w:rsidRPr="00D818A6" w:rsidRDefault="00942FA5" w:rsidP="006A01BF">
      <w:pPr>
        <w:pStyle w:val="ListParagraph"/>
        <w:numPr>
          <w:ilvl w:val="0"/>
          <w:numId w:val="6"/>
        </w:numPr>
        <w:spacing w:before="240" w:after="240"/>
        <w:jc w:val="both"/>
        <w:rPr>
          <w:lang/>
        </w:rPr>
      </w:pPr>
      <w:r w:rsidRPr="00300B74">
        <w:t>Involve stakeholders early</w:t>
      </w:r>
      <w:r w:rsidR="00AC5737">
        <w:t xml:space="preserve"> </w:t>
      </w:r>
      <w:r w:rsidRPr="00300B74">
        <w:t xml:space="preserve">and maintain engagement throughout the </w:t>
      </w:r>
      <w:r>
        <w:t>process.</w:t>
      </w:r>
    </w:p>
    <w:p w14:paraId="34B6D9FB" w14:textId="77777777" w:rsidR="00942FA5" w:rsidRDefault="00942FA5" w:rsidP="006A01BF">
      <w:pPr>
        <w:pStyle w:val="ListParagraph"/>
        <w:numPr>
          <w:ilvl w:val="0"/>
          <w:numId w:val="6"/>
        </w:numPr>
        <w:spacing w:before="240" w:after="240"/>
        <w:jc w:val="both"/>
        <w:rPr>
          <w:lang/>
        </w:rPr>
      </w:pPr>
      <w:r w:rsidRPr="00300B74">
        <w:rPr>
          <w:lang/>
        </w:rPr>
        <w:t>Be adaptable and willing to adjust engagement strategies in response to stakeholder feedback and changing circumstances. Acknowledge and incorporate stakeholders’ evolving needs and concerns.</w:t>
      </w:r>
    </w:p>
    <w:p w14:paraId="65D52F19" w14:textId="77777777" w:rsidR="00942FA5" w:rsidRDefault="00942FA5" w:rsidP="006A01BF">
      <w:pPr>
        <w:pStyle w:val="ListParagraph"/>
        <w:numPr>
          <w:ilvl w:val="0"/>
          <w:numId w:val="6"/>
        </w:numPr>
        <w:spacing w:before="240" w:after="240"/>
        <w:jc w:val="both"/>
        <w:rPr>
          <w:lang/>
        </w:rPr>
      </w:pPr>
      <w:r w:rsidRPr="00300B74">
        <w:rPr>
          <w:lang/>
        </w:rPr>
        <w:t>Provide stakeholders with the information and resources they need to engage effectively.</w:t>
      </w:r>
      <w:r>
        <w:rPr>
          <w:lang/>
        </w:rPr>
        <w:t xml:space="preserve"> </w:t>
      </w:r>
      <w:r w:rsidRPr="00300B74">
        <w:rPr>
          <w:lang/>
        </w:rPr>
        <w:t>Support stakeholders in understanding the scientific processes and enhance their ability to contribute.</w:t>
      </w:r>
    </w:p>
    <w:p w14:paraId="3E7CC5C6" w14:textId="77777777" w:rsidR="00942FA5" w:rsidRPr="00D818A6" w:rsidRDefault="00942FA5" w:rsidP="006A01BF">
      <w:pPr>
        <w:pStyle w:val="ListParagraph"/>
        <w:numPr>
          <w:ilvl w:val="0"/>
          <w:numId w:val="6"/>
        </w:numPr>
        <w:spacing w:before="240" w:after="240"/>
        <w:jc w:val="both"/>
        <w:rPr>
          <w:lang/>
        </w:rPr>
      </w:pPr>
      <w:r w:rsidRPr="00300B74">
        <w:t>Foster a collaborative environment where stakeholders are partners in the scientific process, not just participants.</w:t>
      </w:r>
    </w:p>
    <w:p w14:paraId="53BC01CA" w14:textId="77777777" w:rsidR="00942FA5" w:rsidRDefault="00942FA5" w:rsidP="006A01BF">
      <w:pPr>
        <w:pStyle w:val="ListParagraph"/>
        <w:numPr>
          <w:ilvl w:val="0"/>
          <w:numId w:val="6"/>
        </w:numPr>
        <w:spacing w:before="240" w:after="240"/>
        <w:jc w:val="both"/>
        <w:rPr>
          <w:lang/>
        </w:rPr>
      </w:pPr>
      <w:r w:rsidRPr="00300B74">
        <w:rPr>
          <w:lang/>
        </w:rPr>
        <w:t>Establish clear roles, responsibilities, and expectations for all parties involved.</w:t>
      </w:r>
      <w:r>
        <w:rPr>
          <w:lang/>
        </w:rPr>
        <w:t xml:space="preserve"> </w:t>
      </w:r>
      <w:r w:rsidRPr="00300B74">
        <w:rPr>
          <w:lang/>
        </w:rPr>
        <w:t>Be accountable to stakeholders by acting on their input and demonstrating</w:t>
      </w:r>
      <w:r>
        <w:rPr>
          <w:lang/>
        </w:rPr>
        <w:t>, as much as possible,</w:t>
      </w:r>
      <w:r w:rsidRPr="00300B74">
        <w:rPr>
          <w:lang/>
        </w:rPr>
        <w:t xml:space="preserve"> how it influences outcomes.</w:t>
      </w:r>
    </w:p>
    <w:p w14:paraId="6E9D7972" w14:textId="77777777" w:rsidR="00942FA5" w:rsidRPr="00D818A6" w:rsidRDefault="00942FA5" w:rsidP="006A01BF">
      <w:pPr>
        <w:pStyle w:val="ListParagraph"/>
        <w:numPr>
          <w:ilvl w:val="0"/>
          <w:numId w:val="6"/>
        </w:numPr>
        <w:spacing w:before="240" w:after="240"/>
        <w:jc w:val="both"/>
        <w:rPr>
          <w:lang/>
        </w:rPr>
      </w:pPr>
      <w:r w:rsidRPr="00300B74">
        <w:rPr>
          <w:lang/>
        </w:rPr>
        <w:t>Regularly assess the effectiveness of stakeholder engagement efforts.</w:t>
      </w:r>
      <w:r>
        <w:rPr>
          <w:lang/>
        </w:rPr>
        <w:t xml:space="preserve"> </w:t>
      </w:r>
      <w:r w:rsidRPr="00300B74">
        <w:rPr>
          <w:lang/>
        </w:rPr>
        <w:t>Use feedback to refine engagement strategies and practices over time.</w:t>
      </w:r>
    </w:p>
    <w:p w14:paraId="00000052" w14:textId="02DA9EA1" w:rsidR="003C0985" w:rsidRDefault="00942FA5" w:rsidP="006A01BF">
      <w:pPr>
        <w:pStyle w:val="ListParagraph"/>
        <w:numPr>
          <w:ilvl w:val="0"/>
          <w:numId w:val="6"/>
        </w:numPr>
        <w:spacing w:before="240" w:after="240"/>
        <w:jc w:val="both"/>
      </w:pPr>
      <w:r>
        <w:t>When attending meetings, adhere to the existing Code of Conduct of the body by which the meeting is being hosted.</w:t>
      </w:r>
    </w:p>
    <w:sectPr w:rsidR="003C0985" w:rsidSect="009F5936">
      <w:headerReference w:type="even" r:id="rId11"/>
      <w:headerReference w:type="default" r:id="rId12"/>
      <w:footerReference w:type="even" r:id="rId13"/>
      <w:footerReference w:type="default" r:id="rId14"/>
      <w:headerReference w:type="first" r:id="rId15"/>
      <w:footerReference w:type="first" r:id="rId1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CC3EC" w14:textId="77777777" w:rsidR="00291C8F" w:rsidRDefault="00291C8F">
      <w:pPr>
        <w:spacing w:line="240" w:lineRule="auto"/>
      </w:pPr>
      <w:r>
        <w:separator/>
      </w:r>
    </w:p>
  </w:endnote>
  <w:endnote w:type="continuationSeparator" w:id="0">
    <w:p w14:paraId="59376FA6" w14:textId="77777777" w:rsidR="00291C8F" w:rsidRDefault="00291C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C0041" w14:textId="77777777" w:rsidR="004D6282" w:rsidRDefault="004D62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C45B3" w14:textId="77777777" w:rsidR="004D6282" w:rsidRDefault="004D62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F18F5" w14:textId="77777777" w:rsidR="004D6282" w:rsidRDefault="004D6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4EFC8" w14:textId="77777777" w:rsidR="00291C8F" w:rsidRDefault="00291C8F">
      <w:pPr>
        <w:spacing w:line="240" w:lineRule="auto"/>
      </w:pPr>
      <w:r>
        <w:separator/>
      </w:r>
    </w:p>
  </w:footnote>
  <w:footnote w:type="continuationSeparator" w:id="0">
    <w:p w14:paraId="7DFF027D" w14:textId="77777777" w:rsidR="00291C8F" w:rsidRDefault="00291C8F">
      <w:pPr>
        <w:spacing w:line="240" w:lineRule="auto"/>
      </w:pPr>
      <w:r>
        <w:continuationSeparator/>
      </w:r>
    </w:p>
  </w:footnote>
  <w:footnote w:id="1">
    <w:p w14:paraId="2517808B" w14:textId="2529AD2B" w:rsidR="00B368EA" w:rsidRDefault="00B368EA">
      <w:pPr>
        <w:pStyle w:val="FootnoteText"/>
      </w:pPr>
      <w:r>
        <w:rPr>
          <w:rStyle w:val="FootnoteReference"/>
        </w:rPr>
        <w:footnoteRef/>
      </w:r>
      <w:r>
        <w:t xml:space="preserve"> </w:t>
      </w:r>
      <w:r w:rsidRPr="008A28F8">
        <w:t>NSAC</w:t>
      </w:r>
      <w:r w:rsidR="008A28F8">
        <w:t xml:space="preserve">. </w:t>
      </w:r>
      <w:r w:rsidR="0008754B" w:rsidRPr="008A28F8">
        <w:t>202</w:t>
      </w:r>
      <w:r w:rsidR="008A28F8">
        <w:t>3.</w:t>
      </w:r>
      <w:r w:rsidRPr="008A28F8">
        <w:t xml:space="preserve"> Advice on stakeholder engagement in ICES Advice Request formulation</w:t>
      </w:r>
      <w:r w:rsidR="008A28F8">
        <w:t xml:space="preserve">. Accessible at: </w:t>
      </w:r>
      <w:hyperlink r:id="rId1" w:history="1">
        <w:r w:rsidR="008A28F8" w:rsidRPr="00AB2745">
          <w:rPr>
            <w:rStyle w:val="Hyperlink"/>
          </w:rPr>
          <w:t>https://www.nsrac.org/wp-content/uploads/2023/10/16-2223-NSAC-Advice-on-stakeholder-engagement-in-ICES-Advice-requests.pdf</w:t>
        </w:r>
      </w:hyperlink>
      <w:r w:rsidR="008A28F8">
        <w:t xml:space="preserve"> </w:t>
      </w:r>
    </w:p>
  </w:footnote>
  <w:footnote w:id="2">
    <w:p w14:paraId="1645191A" w14:textId="23BA18B4" w:rsidR="00FF337D" w:rsidRDefault="00FF337D" w:rsidP="00FF337D">
      <w:pPr>
        <w:pStyle w:val="FootnoteText"/>
      </w:pPr>
      <w:r>
        <w:rPr>
          <w:rStyle w:val="FootnoteReference"/>
        </w:rPr>
        <w:footnoteRef/>
      </w:r>
      <w:r>
        <w:t xml:space="preserve"> </w:t>
      </w:r>
      <w:r w:rsidR="00AF7D1F">
        <w:t xml:space="preserve"> </w:t>
      </w:r>
      <w:r w:rsidR="00AF7D1F" w:rsidRPr="00417781">
        <w:t>ICES</w:t>
      </w:r>
      <w:r w:rsidR="00BD24BE">
        <w:t xml:space="preserve">. </w:t>
      </w:r>
      <w:r w:rsidR="00AF7D1F" w:rsidRPr="00417781">
        <w:t>2023</w:t>
      </w:r>
      <w:r w:rsidR="00BD24BE">
        <w:t xml:space="preserve">. </w:t>
      </w:r>
      <w:r w:rsidR="00AF7D1F" w:rsidRPr="00417781">
        <w:t>Workshop on Implementation of Stakeholder Engagement Strategy (WKSTIMP)</w:t>
      </w:r>
      <w:r w:rsidR="00612241">
        <w:t xml:space="preserve">, </w:t>
      </w:r>
      <w:r w:rsidR="00AF7D1F" w:rsidRPr="00417781">
        <w:t>ICES Scientific Reports. 5:77. 68 pp.</w:t>
      </w:r>
      <w:r w:rsidR="00440337">
        <w:t xml:space="preserve"> Accessible at:</w:t>
      </w:r>
      <w:r w:rsidR="00AF7D1F" w:rsidRPr="00417781">
        <w:t xml:space="preserve"> </w:t>
      </w:r>
      <w:hyperlink r:id="rId2" w:history="1">
        <w:r w:rsidR="00440337" w:rsidRPr="00AB2745">
          <w:rPr>
            <w:rStyle w:val="Hyperlink"/>
          </w:rPr>
          <w:t>https://doi.org/10.17895/ices.pub.23507958</w:t>
        </w:r>
      </w:hyperlink>
      <w:r w:rsidR="00440337">
        <w:t xml:space="preserve"> </w:t>
      </w:r>
    </w:p>
  </w:footnote>
  <w:footnote w:id="3">
    <w:p w14:paraId="5AA9957B" w14:textId="647D1B6B" w:rsidR="00AF5CE1" w:rsidRDefault="00AF5CE1">
      <w:pPr>
        <w:pStyle w:val="FootnoteText"/>
      </w:pPr>
      <w:r>
        <w:rPr>
          <w:rStyle w:val="FootnoteReference"/>
        </w:rPr>
        <w:footnoteRef/>
      </w:r>
      <w:r>
        <w:t xml:space="preserve"> </w:t>
      </w:r>
      <w:r w:rsidR="00AF7D1F">
        <w:t>The Pew Charitable Trusts</w:t>
      </w:r>
      <w:r w:rsidR="00440337">
        <w:t xml:space="preserve">. </w:t>
      </w:r>
      <w:r w:rsidR="00612241">
        <w:t>2024</w:t>
      </w:r>
      <w:r w:rsidR="00440337">
        <w:t xml:space="preserve">. </w:t>
      </w:r>
      <w:r w:rsidR="00AF7D1F">
        <w:t>To improve Fisheries Management and Protect Ecosystems, Decision-makers must ask better questions</w:t>
      </w:r>
      <w:r w:rsidR="00440337">
        <w:t>. Accessible at:</w:t>
      </w:r>
      <w:r w:rsidR="00AF7D1F">
        <w:t xml:space="preserve"> </w:t>
      </w:r>
      <w:hyperlink r:id="rId3" w:history="1">
        <w:r w:rsidR="00440337" w:rsidRPr="00AB2745">
          <w:rPr>
            <w:rStyle w:val="Hyperlink"/>
          </w:rPr>
          <w:t>https://www.pewtrusts.org/-/media/assets/2024/02/to-improve-fisheries-management-and-protect.pdf</w:t>
        </w:r>
      </w:hyperlink>
      <w:r w:rsidR="00440337">
        <w:t xml:space="preserve"> </w:t>
      </w:r>
    </w:p>
  </w:footnote>
  <w:footnote w:id="4">
    <w:p w14:paraId="0A69E434" w14:textId="2D876278" w:rsidR="00FF4EE6" w:rsidRDefault="00FF4EE6">
      <w:pPr>
        <w:pStyle w:val="FootnoteText"/>
      </w:pPr>
      <w:r>
        <w:rPr>
          <w:rStyle w:val="FootnoteReference"/>
        </w:rPr>
        <w:footnoteRef/>
      </w:r>
      <w:r>
        <w:t xml:space="preserve"> Secretariats and</w:t>
      </w:r>
      <w:r w:rsidR="007F14AA">
        <w:t xml:space="preserve"> certain members of the four initiating ACs.</w:t>
      </w:r>
    </w:p>
  </w:footnote>
  <w:footnote w:id="5">
    <w:p w14:paraId="076DE0BD" w14:textId="49372220" w:rsidR="000D1E4D" w:rsidRPr="000D1E4D" w:rsidRDefault="000D1E4D">
      <w:pPr>
        <w:pStyle w:val="FootnoteText"/>
      </w:pPr>
      <w:r>
        <w:rPr>
          <w:rStyle w:val="FootnoteReference"/>
        </w:rPr>
        <w:footnoteRef/>
      </w:r>
      <w:r>
        <w:t xml:space="preserve"> European Commission</w:t>
      </w:r>
      <w:r w:rsidR="006457D5">
        <w:t>.</w:t>
      </w:r>
      <w:r>
        <w:t xml:space="preserve"> 2022</w:t>
      </w:r>
      <w:r w:rsidR="00C5528D">
        <w:t>.</w:t>
      </w:r>
      <w:r>
        <w:t xml:space="preserve"> </w:t>
      </w:r>
      <w:r w:rsidR="00DD3340" w:rsidRPr="00C5528D">
        <w:t>T</w:t>
      </w:r>
      <w:r w:rsidRPr="00C5528D">
        <w:t xml:space="preserve">he implementation of </w:t>
      </w:r>
      <w:r w:rsidR="00C5236C" w:rsidRPr="00C5528D">
        <w:t>ecosystem-based approaches applied to fisheries management under the CFP</w:t>
      </w:r>
      <w:r w:rsidR="00392E21" w:rsidRPr="00C5528D">
        <w:t xml:space="preserve"> (EASME/EMFF/2018/011)</w:t>
      </w:r>
      <w:r w:rsidR="00C5528D">
        <w:t xml:space="preserve">. Accessible at: </w:t>
      </w:r>
      <w:hyperlink r:id="rId4" w:history="1">
        <w:r w:rsidR="00DD024B" w:rsidRPr="00AB2745">
          <w:rPr>
            <w:rStyle w:val="Hyperlink"/>
          </w:rPr>
          <w:t>https://cinea.ec.europa.eu/document/download/432456b6-15cd-4f8c-aa78-281e8551d2b9_en?filename=theImplementationEcosystem-basedApplied-CFP-HZ0922512ENN.pdf</w:t>
        </w:r>
      </w:hyperlink>
      <w:r w:rsidR="00C5528D">
        <w:t xml:space="preserve"> </w:t>
      </w:r>
    </w:p>
  </w:footnote>
  <w:footnote w:id="6">
    <w:p w14:paraId="086FCB34" w14:textId="07394C26" w:rsidR="00337969" w:rsidRDefault="00337969">
      <w:pPr>
        <w:pStyle w:val="FootnoteText"/>
      </w:pPr>
      <w:r>
        <w:rPr>
          <w:rStyle w:val="FootnoteReference"/>
        </w:rPr>
        <w:footnoteRef/>
      </w:r>
      <w:r>
        <w:t xml:space="preserve"> </w:t>
      </w:r>
      <w:r w:rsidR="00DD024B">
        <w:t xml:space="preserve">European Commission. 2021. </w:t>
      </w:r>
      <w:r w:rsidR="00CF2DC0">
        <w:t>Better Regulation</w:t>
      </w:r>
      <w:r w:rsidR="00AE3283">
        <w:t>:</w:t>
      </w:r>
      <w:r w:rsidR="00CF2DC0">
        <w:t xml:space="preserve"> Joining forces</w:t>
      </w:r>
      <w:r w:rsidR="00AE3283">
        <w:t xml:space="preserve"> to make better laws</w:t>
      </w:r>
      <w:r w:rsidR="00503DD3">
        <w:t xml:space="preserve">. </w:t>
      </w:r>
      <w:r w:rsidR="00CF2DC0">
        <w:t xml:space="preserve">Accessible at: </w:t>
      </w:r>
      <w:hyperlink r:id="rId5" w:history="1">
        <w:r w:rsidR="00CF2DC0" w:rsidRPr="00AB2745">
          <w:rPr>
            <w:rStyle w:val="Hyperlink"/>
          </w:rPr>
          <w:t>https://commission.europa.eu/document/download/199176cf-6c4e-48ad-a9f7-9c1b31bbbd09_en?filename=better_regulation_joining_forces_to_make_better_laws_en.pdf</w:t>
        </w:r>
      </w:hyperlink>
      <w:r w:rsidR="00AA1289">
        <w:t xml:space="preserve"> </w:t>
      </w:r>
    </w:p>
  </w:footnote>
  <w:footnote w:id="7">
    <w:p w14:paraId="26984239" w14:textId="4695782F" w:rsidR="00CF0DB8" w:rsidRDefault="00CF0DB8">
      <w:pPr>
        <w:pStyle w:val="FootnoteText"/>
      </w:pPr>
      <w:r>
        <w:rPr>
          <w:rStyle w:val="FootnoteReference"/>
        </w:rPr>
        <w:footnoteRef/>
      </w:r>
      <w:r>
        <w:t xml:space="preserve"> </w:t>
      </w:r>
      <w:hyperlink r:id="rId6" w:history="1">
        <w:r w:rsidRPr="00C03403">
          <w:rPr>
            <w:rStyle w:val="Hyperlink"/>
          </w:rPr>
          <w:t>https://eur-lex.europa.eu/legal-content/EN/TXT/PDF/?uri=CELEX:32013R1380</w:t>
        </w:r>
      </w:hyperlink>
      <w:r>
        <w:t xml:space="preserve"> </w:t>
      </w:r>
    </w:p>
  </w:footnote>
  <w:footnote w:id="8">
    <w:p w14:paraId="303C5EBA" w14:textId="5DD89502" w:rsidR="007A50D3" w:rsidRDefault="007A50D3" w:rsidP="007A50D3">
      <w:pPr>
        <w:pStyle w:val="FootnoteText"/>
      </w:pPr>
      <w:r>
        <w:rPr>
          <w:rStyle w:val="FootnoteReference"/>
        </w:rPr>
        <w:footnoteRef/>
      </w:r>
      <w:r>
        <w:t xml:space="preserve">  European Commission</w:t>
      </w:r>
      <w:r w:rsidR="000F2B5B">
        <w:t>.</w:t>
      </w:r>
      <w:r>
        <w:t xml:space="preserve"> 2022</w:t>
      </w:r>
      <w:r w:rsidR="000F2B5B">
        <w:t>.</w:t>
      </w:r>
      <w:r>
        <w:t xml:space="preserve"> </w:t>
      </w:r>
      <w:r w:rsidRPr="006E338F">
        <w:t>The implementation of ecosystem-based approaches applied to fisheries management under the CFP (EASME/EMFF/2018/011)</w:t>
      </w:r>
      <w:r w:rsidR="000F2B5B">
        <w:t xml:space="preserve">. Accessible at: </w:t>
      </w:r>
      <w:hyperlink r:id="rId7" w:history="1">
        <w:r w:rsidR="000F2B5B" w:rsidRPr="00AB2745">
          <w:rPr>
            <w:rStyle w:val="Hyperlink"/>
          </w:rPr>
          <w:t>https://cinea.ec.europa.eu/document/download/432456b6-15cd-4f8c-aa78-281e8551d2b9_en?filename=theImplementationEcosystem-basedApplied-CFP-HZ0922512ENN.pdf</w:t>
        </w:r>
      </w:hyperlink>
      <w:r w:rsidR="000F2B5B">
        <w:t xml:space="preserve"> </w:t>
      </w:r>
    </w:p>
  </w:footnote>
  <w:footnote w:id="9">
    <w:p w14:paraId="7B50ACB3" w14:textId="10648DCB" w:rsidR="00197CDA" w:rsidRPr="00E62BB0" w:rsidRDefault="00197CDA">
      <w:pPr>
        <w:pStyle w:val="FootnoteText"/>
        <w:rPr>
          <w:lang/>
        </w:rPr>
      </w:pPr>
      <w:r>
        <w:rPr>
          <w:rStyle w:val="FootnoteReference"/>
        </w:rPr>
        <w:footnoteRef/>
      </w:r>
      <w:r>
        <w:t xml:space="preserve"> </w:t>
      </w:r>
      <w:r w:rsidR="00E62BB0" w:rsidRPr="00E62BB0">
        <w:rPr>
          <w:lang/>
        </w:rPr>
        <w:t>Guide to ICES advisory framework and principles</w:t>
      </w:r>
      <w:r w:rsidR="00E62BB0">
        <w:rPr>
          <w:lang/>
        </w:rPr>
        <w:t>. 2020. Access</w:t>
      </w:r>
      <w:r w:rsidR="002D60E3">
        <w:rPr>
          <w:lang/>
        </w:rPr>
        <w:t>i</w:t>
      </w:r>
      <w:r w:rsidR="00E62BB0">
        <w:rPr>
          <w:lang/>
        </w:rPr>
        <w:t xml:space="preserve">ble at: </w:t>
      </w:r>
      <w:hyperlink r:id="rId8" w:history="1">
        <w:r w:rsidR="00287C2F" w:rsidRPr="00AB2745">
          <w:rPr>
            <w:rStyle w:val="Hyperlink"/>
            <w:lang/>
          </w:rPr>
          <w:t>https://ices-library.figshare.com/articles/report/Guide_to_ICES_advisory_framework_and_principles/18638000?file=33417401</w:t>
        </w:r>
      </w:hyperlink>
      <w:r w:rsidR="00287C2F">
        <w:rPr>
          <w:lang/>
        </w:rPr>
        <w:t xml:space="preserve"> </w:t>
      </w:r>
    </w:p>
  </w:footnote>
  <w:footnote w:id="10">
    <w:p w14:paraId="13BBFC1B" w14:textId="11CB3E12" w:rsidR="00AF33D2" w:rsidRPr="002D60E3" w:rsidRDefault="00AF33D2">
      <w:pPr>
        <w:pStyle w:val="FootnoteText"/>
        <w:rPr>
          <w:lang/>
        </w:rPr>
      </w:pPr>
      <w:r>
        <w:rPr>
          <w:rStyle w:val="FootnoteReference"/>
        </w:rPr>
        <w:footnoteRef/>
      </w:r>
      <w:r>
        <w:t xml:space="preserve"> </w:t>
      </w:r>
      <w:r w:rsidR="002D60E3" w:rsidRPr="002D60E3">
        <w:rPr>
          <w:lang/>
        </w:rPr>
        <w:t>ICES Guidelines on the formulation of advice requests</w:t>
      </w:r>
      <w:r w:rsidR="002D60E3">
        <w:rPr>
          <w:lang/>
        </w:rPr>
        <w:t xml:space="preserve">. 2024. Accessible at: </w:t>
      </w:r>
      <w:hyperlink r:id="rId9" w:history="1">
        <w:r w:rsidR="00DF4E96" w:rsidRPr="00AB2745">
          <w:rPr>
            <w:rStyle w:val="Hyperlink"/>
            <w:lang/>
          </w:rPr>
          <w:t>https://ices-library.figshare.com/articles/report/ICES_Guidelines_on_the_formulation_of_advice_requests/24338032?file=42759331</w:t>
        </w:r>
      </w:hyperlink>
      <w:r w:rsidR="00DF4E96">
        <w:rPr>
          <w:lang/>
        </w:rPr>
        <w:t xml:space="preserve"> </w:t>
      </w:r>
    </w:p>
  </w:footnote>
  <w:footnote w:id="11">
    <w:p w14:paraId="00000055" w14:textId="4BB1540D" w:rsidR="003C0985" w:rsidRPr="00180CC4" w:rsidRDefault="009F5936">
      <w:pPr>
        <w:spacing w:line="240" w:lineRule="auto"/>
        <w:rPr>
          <w:sz w:val="20"/>
          <w:szCs w:val="20"/>
        </w:rPr>
      </w:pPr>
      <w:r w:rsidRPr="00180CC4">
        <w:rPr>
          <w:sz w:val="20"/>
          <w:szCs w:val="20"/>
          <w:vertAlign w:val="superscript"/>
        </w:rPr>
        <w:footnoteRef/>
      </w:r>
      <w:r w:rsidRPr="00180CC4">
        <w:rPr>
          <w:sz w:val="20"/>
          <w:szCs w:val="20"/>
        </w:rPr>
        <w:t xml:space="preserve"> M</w:t>
      </w:r>
      <w:r w:rsidR="005A607D">
        <w:rPr>
          <w:sz w:val="20"/>
          <w:szCs w:val="20"/>
        </w:rPr>
        <w:t xml:space="preserve">arta </w:t>
      </w:r>
      <w:r w:rsidRPr="00180CC4">
        <w:rPr>
          <w:sz w:val="20"/>
          <w:szCs w:val="20"/>
        </w:rPr>
        <w:t xml:space="preserve">Ballesteros </w:t>
      </w:r>
      <w:r w:rsidR="00180CC4" w:rsidRPr="00180CC4">
        <w:rPr>
          <w:sz w:val="20"/>
          <w:szCs w:val="20"/>
        </w:rPr>
        <w:t>&amp;</w:t>
      </w:r>
      <w:r w:rsidRPr="00180CC4">
        <w:rPr>
          <w:sz w:val="20"/>
          <w:szCs w:val="20"/>
        </w:rPr>
        <w:t xml:space="preserve"> M</w:t>
      </w:r>
      <w:r w:rsidR="005A607D">
        <w:rPr>
          <w:sz w:val="20"/>
          <w:szCs w:val="20"/>
        </w:rPr>
        <w:t>ark</w:t>
      </w:r>
      <w:r w:rsidRPr="00180CC4">
        <w:rPr>
          <w:sz w:val="20"/>
          <w:szCs w:val="20"/>
        </w:rPr>
        <w:t xml:space="preserve"> Dickey-Collas</w:t>
      </w:r>
      <w:r w:rsidR="00A22B99">
        <w:rPr>
          <w:sz w:val="20"/>
          <w:szCs w:val="20"/>
        </w:rPr>
        <w:t xml:space="preserve">. 2023. </w:t>
      </w:r>
      <w:r w:rsidRPr="00180CC4">
        <w:rPr>
          <w:sz w:val="20"/>
          <w:szCs w:val="20"/>
        </w:rPr>
        <w:t>Managing Participation Across Boundaries: A Typology for Stakeholder Engagement in the International Council for the Exploration of the Sea</w:t>
      </w:r>
      <w:r w:rsidR="00A22B99">
        <w:rPr>
          <w:sz w:val="20"/>
          <w:szCs w:val="20"/>
        </w:rPr>
        <w:t xml:space="preserve">. </w:t>
      </w:r>
      <w:r w:rsidRPr="00180CC4">
        <w:rPr>
          <w:sz w:val="20"/>
          <w:szCs w:val="20"/>
        </w:rPr>
        <w:t>Marine Policy 147 (2023)</w:t>
      </w:r>
      <w:r w:rsidR="00A22B99">
        <w:rPr>
          <w:sz w:val="20"/>
          <w:szCs w:val="20"/>
        </w:rPr>
        <w:t>. Accessible at:</w:t>
      </w:r>
      <w:r w:rsidR="002916D0">
        <w:t xml:space="preserve"> </w:t>
      </w:r>
      <w:hyperlink r:id="rId10" w:history="1">
        <w:r w:rsidR="002916D0" w:rsidRPr="00AB2745">
          <w:rPr>
            <w:rStyle w:val="Hyperlink"/>
            <w:sz w:val="20"/>
            <w:szCs w:val="20"/>
          </w:rPr>
          <w:t>https://www.sciencedirect.com/science/article/abs/pii/</w:t>
        </w:r>
        <w:r w:rsidR="002916D0" w:rsidRPr="00AB2745">
          <w:rPr>
            <w:rStyle w:val="Hyperlink"/>
            <w:sz w:val="20"/>
            <w:szCs w:val="20"/>
          </w:rPr>
          <w:br/>
          <w:t>S0308597X22004365?via%3Dihub</w:t>
        </w:r>
      </w:hyperlink>
    </w:p>
  </w:footnote>
  <w:footnote w:id="12">
    <w:p w14:paraId="249DD292" w14:textId="77777777" w:rsidR="000B65A2" w:rsidRDefault="000B65A2" w:rsidP="000B65A2">
      <w:r>
        <w:rPr>
          <w:rStyle w:val="FootnoteReference"/>
        </w:rPr>
        <w:footnoteRef/>
      </w:r>
      <w:r>
        <w:t xml:space="preserve"> </w:t>
      </w:r>
      <w:hyperlink r:id="rId11" w:history="1">
        <w:r w:rsidRPr="00C03403">
          <w:rPr>
            <w:rStyle w:val="Hyperlink"/>
          </w:rPr>
          <w:t>https://ices-library.figshare.com/articles/report/Workshop_on_Implementation_of_</w:t>
        </w:r>
        <w:r w:rsidRPr="00C03403">
          <w:rPr>
            <w:rStyle w:val="Hyperlink"/>
          </w:rPr>
          <w:br/>
        </w:r>
        <w:proofErr w:type="spellStart"/>
        <w:r w:rsidRPr="00C03403">
          <w:rPr>
            <w:rStyle w:val="Hyperlink"/>
          </w:rPr>
          <w:t>Stakeholder_Engagement_Strategy_WKSTIMP</w:t>
        </w:r>
        <w:proofErr w:type="spellEnd"/>
        <w:r w:rsidRPr="00C03403">
          <w:rPr>
            <w:rStyle w:val="Hyperlink"/>
          </w:rPr>
          <w:t>_/23507958</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4DBC0" w14:textId="147C84C2" w:rsidR="004D6282" w:rsidRDefault="00291C8F">
    <w:pPr>
      <w:pStyle w:val="Header"/>
    </w:pPr>
    <w:r>
      <w:rPr>
        <w:noProof/>
      </w:rPr>
      <w:pict w14:anchorId="398092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838860" o:spid="_x0000_s1027" type="#_x0000_t136" alt="" style="position:absolute;margin-left:0;margin-top:0;width:454.65pt;height:181.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486B8" w14:textId="45CFDDAC" w:rsidR="00947F24" w:rsidRPr="00947F24" w:rsidRDefault="00291C8F" w:rsidP="00947F24">
    <w:pPr>
      <w:pStyle w:val="Header"/>
      <w:rPr>
        <w:lang/>
      </w:rPr>
    </w:pPr>
    <w:r>
      <w:rPr>
        <w:noProof/>
      </w:rPr>
      <w:pict w14:anchorId="36F3E6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838861" o:spid="_x0000_s1026" type="#_x0000_t136" alt="" style="position:absolute;margin-left:0;margin-top:0;width:454.65pt;height:181.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r w:rsidR="00947F24" w:rsidRPr="00947F24">
      <w:rPr>
        <w:noProof/>
        <w:lang/>
      </w:rPr>
      <w:drawing>
        <wp:inline distT="0" distB="0" distL="0" distR="0" wp14:anchorId="1479573D" wp14:editId="127BEECC">
          <wp:extent cx="5733415" cy="609600"/>
          <wp:effectExtent l="0" t="0" r="635" b="0"/>
          <wp:docPr id="19382914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415" cy="609600"/>
                  </a:xfrm>
                  <a:prstGeom prst="rect">
                    <a:avLst/>
                  </a:prstGeom>
                  <a:noFill/>
                  <a:ln>
                    <a:noFill/>
                  </a:ln>
                </pic:spPr>
              </pic:pic>
            </a:graphicData>
          </a:graphic>
        </wp:inline>
      </w:drawing>
    </w:r>
  </w:p>
  <w:p w14:paraId="08EBB030" w14:textId="03BD0B91" w:rsidR="00ED6978" w:rsidRPr="00ED6978" w:rsidRDefault="00ED6978" w:rsidP="00ED6978">
    <w:pPr>
      <w:pStyle w:val="Header"/>
    </w:pPr>
  </w:p>
  <w:p w14:paraId="3ECA2583" w14:textId="77777777" w:rsidR="00ED6978" w:rsidRDefault="00ED69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55CFA" w14:textId="5B4C03DA" w:rsidR="004D6282" w:rsidRDefault="00291C8F">
    <w:pPr>
      <w:pStyle w:val="Header"/>
    </w:pPr>
    <w:r>
      <w:rPr>
        <w:noProof/>
      </w:rPr>
      <w:pict w14:anchorId="663005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838859" o:spid="_x0000_s1025" type="#_x0000_t136" alt="" style="position:absolute;margin-left:0;margin-top:0;width:454.65pt;height:181.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70" style="width:0;height:1.5pt" o:hralign="center" o:bullet="t" o:hrstd="t" o:hr="t" fillcolor="#a0a0a0" stroked="f"/>
    </w:pict>
  </w:numPicBullet>
  <w:abstractNum w:abstractNumId="0" w15:restartNumberingAfterBreak="0">
    <w:nsid w:val="0FB558B0"/>
    <w:multiLevelType w:val="hybridMultilevel"/>
    <w:tmpl w:val="96A6E5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1E6506F"/>
    <w:multiLevelType w:val="hybridMultilevel"/>
    <w:tmpl w:val="04EE8562"/>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2D6119E"/>
    <w:multiLevelType w:val="hybridMultilevel"/>
    <w:tmpl w:val="F90A85C4"/>
    <w:lvl w:ilvl="0" w:tplc="20000005">
      <w:start w:val="1"/>
      <w:numFmt w:val="bullet"/>
      <w:lvlText w:val=""/>
      <w:lvlJc w:val="left"/>
      <w:pPr>
        <w:ind w:left="3960" w:hanging="360"/>
      </w:pPr>
      <w:rPr>
        <w:rFonts w:ascii="Wingdings" w:hAnsi="Wingdings" w:hint="default"/>
      </w:rPr>
    </w:lvl>
    <w:lvl w:ilvl="1" w:tplc="20000003" w:tentative="1">
      <w:start w:val="1"/>
      <w:numFmt w:val="bullet"/>
      <w:lvlText w:val="o"/>
      <w:lvlJc w:val="left"/>
      <w:pPr>
        <w:ind w:left="4680" w:hanging="360"/>
      </w:pPr>
      <w:rPr>
        <w:rFonts w:ascii="Courier New" w:hAnsi="Courier New" w:cs="Courier New" w:hint="default"/>
      </w:rPr>
    </w:lvl>
    <w:lvl w:ilvl="2" w:tplc="20000005" w:tentative="1">
      <w:start w:val="1"/>
      <w:numFmt w:val="bullet"/>
      <w:lvlText w:val=""/>
      <w:lvlJc w:val="left"/>
      <w:pPr>
        <w:ind w:left="5400" w:hanging="360"/>
      </w:pPr>
      <w:rPr>
        <w:rFonts w:ascii="Wingdings" w:hAnsi="Wingdings" w:hint="default"/>
      </w:rPr>
    </w:lvl>
    <w:lvl w:ilvl="3" w:tplc="20000001" w:tentative="1">
      <w:start w:val="1"/>
      <w:numFmt w:val="bullet"/>
      <w:lvlText w:val=""/>
      <w:lvlJc w:val="left"/>
      <w:pPr>
        <w:ind w:left="6120" w:hanging="360"/>
      </w:pPr>
      <w:rPr>
        <w:rFonts w:ascii="Symbol" w:hAnsi="Symbol" w:hint="default"/>
      </w:rPr>
    </w:lvl>
    <w:lvl w:ilvl="4" w:tplc="20000003" w:tentative="1">
      <w:start w:val="1"/>
      <w:numFmt w:val="bullet"/>
      <w:lvlText w:val="o"/>
      <w:lvlJc w:val="left"/>
      <w:pPr>
        <w:ind w:left="6840" w:hanging="360"/>
      </w:pPr>
      <w:rPr>
        <w:rFonts w:ascii="Courier New" w:hAnsi="Courier New" w:cs="Courier New" w:hint="default"/>
      </w:rPr>
    </w:lvl>
    <w:lvl w:ilvl="5" w:tplc="20000005" w:tentative="1">
      <w:start w:val="1"/>
      <w:numFmt w:val="bullet"/>
      <w:lvlText w:val=""/>
      <w:lvlJc w:val="left"/>
      <w:pPr>
        <w:ind w:left="7560" w:hanging="360"/>
      </w:pPr>
      <w:rPr>
        <w:rFonts w:ascii="Wingdings" w:hAnsi="Wingdings" w:hint="default"/>
      </w:rPr>
    </w:lvl>
    <w:lvl w:ilvl="6" w:tplc="20000001" w:tentative="1">
      <w:start w:val="1"/>
      <w:numFmt w:val="bullet"/>
      <w:lvlText w:val=""/>
      <w:lvlJc w:val="left"/>
      <w:pPr>
        <w:ind w:left="8280" w:hanging="360"/>
      </w:pPr>
      <w:rPr>
        <w:rFonts w:ascii="Symbol" w:hAnsi="Symbol" w:hint="default"/>
      </w:rPr>
    </w:lvl>
    <w:lvl w:ilvl="7" w:tplc="20000003" w:tentative="1">
      <w:start w:val="1"/>
      <w:numFmt w:val="bullet"/>
      <w:lvlText w:val="o"/>
      <w:lvlJc w:val="left"/>
      <w:pPr>
        <w:ind w:left="9000" w:hanging="360"/>
      </w:pPr>
      <w:rPr>
        <w:rFonts w:ascii="Courier New" w:hAnsi="Courier New" w:cs="Courier New" w:hint="default"/>
      </w:rPr>
    </w:lvl>
    <w:lvl w:ilvl="8" w:tplc="20000005" w:tentative="1">
      <w:start w:val="1"/>
      <w:numFmt w:val="bullet"/>
      <w:lvlText w:val=""/>
      <w:lvlJc w:val="left"/>
      <w:pPr>
        <w:ind w:left="9720" w:hanging="360"/>
      </w:pPr>
      <w:rPr>
        <w:rFonts w:ascii="Wingdings" w:hAnsi="Wingdings" w:hint="default"/>
      </w:rPr>
    </w:lvl>
  </w:abstractNum>
  <w:abstractNum w:abstractNumId="3" w15:restartNumberingAfterBreak="0">
    <w:nsid w:val="32337AB5"/>
    <w:multiLevelType w:val="hybridMultilevel"/>
    <w:tmpl w:val="91E8FE4A"/>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6E5393B"/>
    <w:multiLevelType w:val="hybridMultilevel"/>
    <w:tmpl w:val="25B4D2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7177AC7"/>
    <w:multiLevelType w:val="hybridMultilevel"/>
    <w:tmpl w:val="944239F8"/>
    <w:lvl w:ilvl="0" w:tplc="6322A4BE">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 w15:restartNumberingAfterBreak="0">
    <w:nsid w:val="653D1E16"/>
    <w:multiLevelType w:val="hybridMultilevel"/>
    <w:tmpl w:val="D17620D8"/>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6FD87815"/>
    <w:multiLevelType w:val="hybridMultilevel"/>
    <w:tmpl w:val="DF38EB8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7341481F"/>
    <w:multiLevelType w:val="hybridMultilevel"/>
    <w:tmpl w:val="082E0AD6"/>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05090815">
    <w:abstractNumId w:val="0"/>
  </w:num>
  <w:num w:numId="2" w16cid:durableId="620958369">
    <w:abstractNumId w:val="6"/>
  </w:num>
  <w:num w:numId="3" w16cid:durableId="1293438908">
    <w:abstractNumId w:val="2"/>
  </w:num>
  <w:num w:numId="4" w16cid:durableId="1187061022">
    <w:abstractNumId w:val="3"/>
  </w:num>
  <w:num w:numId="5" w16cid:durableId="1525556378">
    <w:abstractNumId w:val="4"/>
  </w:num>
  <w:num w:numId="6" w16cid:durableId="1520048315">
    <w:abstractNumId w:val="8"/>
  </w:num>
  <w:num w:numId="7" w16cid:durableId="738749323">
    <w:abstractNumId w:val="7"/>
  </w:num>
  <w:num w:numId="8" w16cid:durableId="1072236271">
    <w:abstractNumId w:val="5"/>
  </w:num>
  <w:num w:numId="9" w16cid:durableId="295793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985"/>
    <w:rsid w:val="00002754"/>
    <w:rsid w:val="00006557"/>
    <w:rsid w:val="00006889"/>
    <w:rsid w:val="00007773"/>
    <w:rsid w:val="00010CC6"/>
    <w:rsid w:val="00014B7D"/>
    <w:rsid w:val="00017201"/>
    <w:rsid w:val="00017440"/>
    <w:rsid w:val="00026F88"/>
    <w:rsid w:val="00032242"/>
    <w:rsid w:val="00033BAE"/>
    <w:rsid w:val="00036E6F"/>
    <w:rsid w:val="0004310E"/>
    <w:rsid w:val="00051F22"/>
    <w:rsid w:val="00064658"/>
    <w:rsid w:val="0007053C"/>
    <w:rsid w:val="000705D4"/>
    <w:rsid w:val="000779E4"/>
    <w:rsid w:val="00083205"/>
    <w:rsid w:val="0008492D"/>
    <w:rsid w:val="00086ACF"/>
    <w:rsid w:val="0008754B"/>
    <w:rsid w:val="000B0A98"/>
    <w:rsid w:val="000B2F06"/>
    <w:rsid w:val="000B65A2"/>
    <w:rsid w:val="000B6FB3"/>
    <w:rsid w:val="000C05F4"/>
    <w:rsid w:val="000C28CD"/>
    <w:rsid w:val="000C2C9E"/>
    <w:rsid w:val="000C2E40"/>
    <w:rsid w:val="000C3050"/>
    <w:rsid w:val="000C44AF"/>
    <w:rsid w:val="000C529C"/>
    <w:rsid w:val="000D1E4D"/>
    <w:rsid w:val="000D267C"/>
    <w:rsid w:val="000E0CAB"/>
    <w:rsid w:val="000E180D"/>
    <w:rsid w:val="000E5B2D"/>
    <w:rsid w:val="000F0BDA"/>
    <w:rsid w:val="000F2B5B"/>
    <w:rsid w:val="000F62C4"/>
    <w:rsid w:val="000F74F8"/>
    <w:rsid w:val="00121B87"/>
    <w:rsid w:val="00124BC1"/>
    <w:rsid w:val="001454B9"/>
    <w:rsid w:val="00150971"/>
    <w:rsid w:val="00150B17"/>
    <w:rsid w:val="0016254E"/>
    <w:rsid w:val="00162DF1"/>
    <w:rsid w:val="0017565D"/>
    <w:rsid w:val="0018026B"/>
    <w:rsid w:val="001808F1"/>
    <w:rsid w:val="00180CC4"/>
    <w:rsid w:val="0018264C"/>
    <w:rsid w:val="001909E7"/>
    <w:rsid w:val="00192DA3"/>
    <w:rsid w:val="00192F81"/>
    <w:rsid w:val="00197CC0"/>
    <w:rsid w:val="00197CDA"/>
    <w:rsid w:val="001A5299"/>
    <w:rsid w:val="001A5EAE"/>
    <w:rsid w:val="001A683A"/>
    <w:rsid w:val="001B4883"/>
    <w:rsid w:val="001C2A72"/>
    <w:rsid w:val="001D1B97"/>
    <w:rsid w:val="001D66E8"/>
    <w:rsid w:val="001D7C37"/>
    <w:rsid w:val="001E420B"/>
    <w:rsid w:val="001F01D4"/>
    <w:rsid w:val="001F0D68"/>
    <w:rsid w:val="001F325D"/>
    <w:rsid w:val="00200AEA"/>
    <w:rsid w:val="00213704"/>
    <w:rsid w:val="00216E8F"/>
    <w:rsid w:val="002305F3"/>
    <w:rsid w:val="00232B15"/>
    <w:rsid w:val="002360CD"/>
    <w:rsid w:val="002374C7"/>
    <w:rsid w:val="002425D1"/>
    <w:rsid w:val="00242935"/>
    <w:rsid w:val="00243715"/>
    <w:rsid w:val="0025415C"/>
    <w:rsid w:val="002617EB"/>
    <w:rsid w:val="00261F08"/>
    <w:rsid w:val="00263D71"/>
    <w:rsid w:val="00267C69"/>
    <w:rsid w:val="002720C7"/>
    <w:rsid w:val="0028112B"/>
    <w:rsid w:val="00287C2F"/>
    <w:rsid w:val="002916D0"/>
    <w:rsid w:val="00291C8F"/>
    <w:rsid w:val="00293327"/>
    <w:rsid w:val="00294E30"/>
    <w:rsid w:val="002952A8"/>
    <w:rsid w:val="002A19A7"/>
    <w:rsid w:val="002A429D"/>
    <w:rsid w:val="002B1435"/>
    <w:rsid w:val="002B2A1C"/>
    <w:rsid w:val="002C0F4B"/>
    <w:rsid w:val="002D60E3"/>
    <w:rsid w:val="002D6E16"/>
    <w:rsid w:val="002E4596"/>
    <w:rsid w:val="002E6DD4"/>
    <w:rsid w:val="002F11CA"/>
    <w:rsid w:val="002F6FB0"/>
    <w:rsid w:val="003028A8"/>
    <w:rsid w:val="00304354"/>
    <w:rsid w:val="003050F4"/>
    <w:rsid w:val="0030684F"/>
    <w:rsid w:val="00316AE3"/>
    <w:rsid w:val="0032268D"/>
    <w:rsid w:val="003235DA"/>
    <w:rsid w:val="0032370A"/>
    <w:rsid w:val="00337969"/>
    <w:rsid w:val="00337E9A"/>
    <w:rsid w:val="00341E9B"/>
    <w:rsid w:val="00342046"/>
    <w:rsid w:val="00346470"/>
    <w:rsid w:val="003479CF"/>
    <w:rsid w:val="0035003A"/>
    <w:rsid w:val="00354265"/>
    <w:rsid w:val="00360FBA"/>
    <w:rsid w:val="00366882"/>
    <w:rsid w:val="00372FF7"/>
    <w:rsid w:val="00376B1D"/>
    <w:rsid w:val="00380A31"/>
    <w:rsid w:val="00392E21"/>
    <w:rsid w:val="003954A4"/>
    <w:rsid w:val="003A6C2E"/>
    <w:rsid w:val="003C0985"/>
    <w:rsid w:val="003D0189"/>
    <w:rsid w:val="003D4284"/>
    <w:rsid w:val="003D6F16"/>
    <w:rsid w:val="003E3264"/>
    <w:rsid w:val="003E3A97"/>
    <w:rsid w:val="00405205"/>
    <w:rsid w:val="004123C1"/>
    <w:rsid w:val="0041462E"/>
    <w:rsid w:val="00417781"/>
    <w:rsid w:val="00421579"/>
    <w:rsid w:val="004326FE"/>
    <w:rsid w:val="00435E70"/>
    <w:rsid w:val="00440337"/>
    <w:rsid w:val="0044284E"/>
    <w:rsid w:val="00442CCB"/>
    <w:rsid w:val="00444D00"/>
    <w:rsid w:val="00453DC5"/>
    <w:rsid w:val="00454903"/>
    <w:rsid w:val="00461635"/>
    <w:rsid w:val="00473044"/>
    <w:rsid w:val="004745A8"/>
    <w:rsid w:val="00476725"/>
    <w:rsid w:val="0048705B"/>
    <w:rsid w:val="004A1FFF"/>
    <w:rsid w:val="004A6F1D"/>
    <w:rsid w:val="004A78F7"/>
    <w:rsid w:val="004B2E2F"/>
    <w:rsid w:val="004B3E2F"/>
    <w:rsid w:val="004C08F1"/>
    <w:rsid w:val="004C205A"/>
    <w:rsid w:val="004C5339"/>
    <w:rsid w:val="004C56E9"/>
    <w:rsid w:val="004D6282"/>
    <w:rsid w:val="004E0CA0"/>
    <w:rsid w:val="004E7031"/>
    <w:rsid w:val="004F3682"/>
    <w:rsid w:val="004F6906"/>
    <w:rsid w:val="0050003B"/>
    <w:rsid w:val="00503DD3"/>
    <w:rsid w:val="005057A7"/>
    <w:rsid w:val="00511245"/>
    <w:rsid w:val="00513DC8"/>
    <w:rsid w:val="0052336E"/>
    <w:rsid w:val="0052537B"/>
    <w:rsid w:val="0052577E"/>
    <w:rsid w:val="005263D1"/>
    <w:rsid w:val="00547E44"/>
    <w:rsid w:val="00554109"/>
    <w:rsid w:val="00556928"/>
    <w:rsid w:val="00561CA9"/>
    <w:rsid w:val="005639BE"/>
    <w:rsid w:val="00564FD2"/>
    <w:rsid w:val="00565A32"/>
    <w:rsid w:val="00567814"/>
    <w:rsid w:val="00570685"/>
    <w:rsid w:val="005872CE"/>
    <w:rsid w:val="005A3787"/>
    <w:rsid w:val="005A5982"/>
    <w:rsid w:val="005A607D"/>
    <w:rsid w:val="005A623F"/>
    <w:rsid w:val="005A6EDA"/>
    <w:rsid w:val="005B31BA"/>
    <w:rsid w:val="005B34C3"/>
    <w:rsid w:val="005B71D4"/>
    <w:rsid w:val="005C0636"/>
    <w:rsid w:val="005C3DFD"/>
    <w:rsid w:val="005C74D2"/>
    <w:rsid w:val="005D0518"/>
    <w:rsid w:val="005D0AED"/>
    <w:rsid w:val="005D0CDB"/>
    <w:rsid w:val="005D35DB"/>
    <w:rsid w:val="005D405A"/>
    <w:rsid w:val="005E7FE8"/>
    <w:rsid w:val="005F325A"/>
    <w:rsid w:val="005F717F"/>
    <w:rsid w:val="00610C4B"/>
    <w:rsid w:val="00611E61"/>
    <w:rsid w:val="00612241"/>
    <w:rsid w:val="006126B2"/>
    <w:rsid w:val="0061505E"/>
    <w:rsid w:val="00620109"/>
    <w:rsid w:val="006208FE"/>
    <w:rsid w:val="00627021"/>
    <w:rsid w:val="006276A3"/>
    <w:rsid w:val="00635CF0"/>
    <w:rsid w:val="00641F99"/>
    <w:rsid w:val="00644A9D"/>
    <w:rsid w:val="006457D5"/>
    <w:rsid w:val="00650F19"/>
    <w:rsid w:val="006542AF"/>
    <w:rsid w:val="00655466"/>
    <w:rsid w:val="0065798E"/>
    <w:rsid w:val="006604D4"/>
    <w:rsid w:val="006710C8"/>
    <w:rsid w:val="00673A89"/>
    <w:rsid w:val="00673C7D"/>
    <w:rsid w:val="0067533D"/>
    <w:rsid w:val="00682A4A"/>
    <w:rsid w:val="0068735D"/>
    <w:rsid w:val="00694E56"/>
    <w:rsid w:val="00696464"/>
    <w:rsid w:val="00696D11"/>
    <w:rsid w:val="00696DE2"/>
    <w:rsid w:val="006A01BF"/>
    <w:rsid w:val="006A1368"/>
    <w:rsid w:val="006A1AD0"/>
    <w:rsid w:val="006A6ABF"/>
    <w:rsid w:val="006A6CA8"/>
    <w:rsid w:val="006B02C7"/>
    <w:rsid w:val="006B2F70"/>
    <w:rsid w:val="006B326C"/>
    <w:rsid w:val="006C159D"/>
    <w:rsid w:val="006C1867"/>
    <w:rsid w:val="006E0001"/>
    <w:rsid w:val="006E338F"/>
    <w:rsid w:val="006F567A"/>
    <w:rsid w:val="006F6E7A"/>
    <w:rsid w:val="00707699"/>
    <w:rsid w:val="007107C7"/>
    <w:rsid w:val="007125D5"/>
    <w:rsid w:val="0071265D"/>
    <w:rsid w:val="0071467E"/>
    <w:rsid w:val="00714FAB"/>
    <w:rsid w:val="00720FAB"/>
    <w:rsid w:val="00734743"/>
    <w:rsid w:val="00737BA5"/>
    <w:rsid w:val="007413A1"/>
    <w:rsid w:val="0074478B"/>
    <w:rsid w:val="00746256"/>
    <w:rsid w:val="00746AAD"/>
    <w:rsid w:val="00756BD4"/>
    <w:rsid w:val="00766D8C"/>
    <w:rsid w:val="00771814"/>
    <w:rsid w:val="00796014"/>
    <w:rsid w:val="007965A0"/>
    <w:rsid w:val="007A4CC5"/>
    <w:rsid w:val="007A50D3"/>
    <w:rsid w:val="007A7EC9"/>
    <w:rsid w:val="007B60B8"/>
    <w:rsid w:val="007B63BC"/>
    <w:rsid w:val="007C6777"/>
    <w:rsid w:val="007D0FDB"/>
    <w:rsid w:val="007D101E"/>
    <w:rsid w:val="007D27A0"/>
    <w:rsid w:val="007E0303"/>
    <w:rsid w:val="007E3FEE"/>
    <w:rsid w:val="007F14AA"/>
    <w:rsid w:val="007F5763"/>
    <w:rsid w:val="007F6684"/>
    <w:rsid w:val="007F7B39"/>
    <w:rsid w:val="0080084B"/>
    <w:rsid w:val="00800DCB"/>
    <w:rsid w:val="008022EC"/>
    <w:rsid w:val="00807551"/>
    <w:rsid w:val="00807A22"/>
    <w:rsid w:val="00813A52"/>
    <w:rsid w:val="008142CF"/>
    <w:rsid w:val="00814E07"/>
    <w:rsid w:val="008213B6"/>
    <w:rsid w:val="00823170"/>
    <w:rsid w:val="00824FF4"/>
    <w:rsid w:val="00825CF4"/>
    <w:rsid w:val="00834869"/>
    <w:rsid w:val="008370E2"/>
    <w:rsid w:val="00840FEA"/>
    <w:rsid w:val="0084615B"/>
    <w:rsid w:val="00846999"/>
    <w:rsid w:val="0085774E"/>
    <w:rsid w:val="008611EA"/>
    <w:rsid w:val="0086240A"/>
    <w:rsid w:val="0088334E"/>
    <w:rsid w:val="00885089"/>
    <w:rsid w:val="00890151"/>
    <w:rsid w:val="00892486"/>
    <w:rsid w:val="00892E0B"/>
    <w:rsid w:val="00895EF5"/>
    <w:rsid w:val="008A28F8"/>
    <w:rsid w:val="008A4F2E"/>
    <w:rsid w:val="008A6BAD"/>
    <w:rsid w:val="008B3E91"/>
    <w:rsid w:val="008C28E6"/>
    <w:rsid w:val="008C30C8"/>
    <w:rsid w:val="008D6879"/>
    <w:rsid w:val="008E03CA"/>
    <w:rsid w:val="008E5E15"/>
    <w:rsid w:val="008E6439"/>
    <w:rsid w:val="008F2E63"/>
    <w:rsid w:val="008F365A"/>
    <w:rsid w:val="008F52AD"/>
    <w:rsid w:val="008F6B7E"/>
    <w:rsid w:val="009023DD"/>
    <w:rsid w:val="00905796"/>
    <w:rsid w:val="009141FE"/>
    <w:rsid w:val="00914E61"/>
    <w:rsid w:val="00915A2C"/>
    <w:rsid w:val="00916AAC"/>
    <w:rsid w:val="00916E50"/>
    <w:rsid w:val="00942FA5"/>
    <w:rsid w:val="009462F1"/>
    <w:rsid w:val="00947F24"/>
    <w:rsid w:val="009567F5"/>
    <w:rsid w:val="009651B0"/>
    <w:rsid w:val="00972FB2"/>
    <w:rsid w:val="00992E03"/>
    <w:rsid w:val="009A0CD2"/>
    <w:rsid w:val="009C0099"/>
    <w:rsid w:val="009C4CE6"/>
    <w:rsid w:val="009C5164"/>
    <w:rsid w:val="009D2E5F"/>
    <w:rsid w:val="009D504C"/>
    <w:rsid w:val="009D6E8B"/>
    <w:rsid w:val="009E54DF"/>
    <w:rsid w:val="009F192F"/>
    <w:rsid w:val="009F5936"/>
    <w:rsid w:val="00A10155"/>
    <w:rsid w:val="00A10A30"/>
    <w:rsid w:val="00A12069"/>
    <w:rsid w:val="00A22B99"/>
    <w:rsid w:val="00A311FC"/>
    <w:rsid w:val="00A34BC9"/>
    <w:rsid w:val="00A373DB"/>
    <w:rsid w:val="00A42106"/>
    <w:rsid w:val="00A54119"/>
    <w:rsid w:val="00A54D6B"/>
    <w:rsid w:val="00A5530E"/>
    <w:rsid w:val="00A56E18"/>
    <w:rsid w:val="00A61620"/>
    <w:rsid w:val="00A6521D"/>
    <w:rsid w:val="00A72BC9"/>
    <w:rsid w:val="00A74858"/>
    <w:rsid w:val="00A748F3"/>
    <w:rsid w:val="00A87FCB"/>
    <w:rsid w:val="00A9129B"/>
    <w:rsid w:val="00A92788"/>
    <w:rsid w:val="00A934AE"/>
    <w:rsid w:val="00AA09B1"/>
    <w:rsid w:val="00AA1289"/>
    <w:rsid w:val="00AA155D"/>
    <w:rsid w:val="00AC48BC"/>
    <w:rsid w:val="00AC5737"/>
    <w:rsid w:val="00AD18EE"/>
    <w:rsid w:val="00AD21A4"/>
    <w:rsid w:val="00AD2D86"/>
    <w:rsid w:val="00AD3478"/>
    <w:rsid w:val="00AE2F0E"/>
    <w:rsid w:val="00AE3283"/>
    <w:rsid w:val="00AF2877"/>
    <w:rsid w:val="00AF33D2"/>
    <w:rsid w:val="00AF5CE1"/>
    <w:rsid w:val="00AF6527"/>
    <w:rsid w:val="00AF7B69"/>
    <w:rsid w:val="00AF7D1F"/>
    <w:rsid w:val="00B15631"/>
    <w:rsid w:val="00B162FB"/>
    <w:rsid w:val="00B203C7"/>
    <w:rsid w:val="00B32121"/>
    <w:rsid w:val="00B3284E"/>
    <w:rsid w:val="00B368EA"/>
    <w:rsid w:val="00B44114"/>
    <w:rsid w:val="00B47733"/>
    <w:rsid w:val="00B61BCF"/>
    <w:rsid w:val="00B649BE"/>
    <w:rsid w:val="00B65642"/>
    <w:rsid w:val="00B65E42"/>
    <w:rsid w:val="00B709CE"/>
    <w:rsid w:val="00B82672"/>
    <w:rsid w:val="00B92A38"/>
    <w:rsid w:val="00B93F46"/>
    <w:rsid w:val="00B97249"/>
    <w:rsid w:val="00BA09C0"/>
    <w:rsid w:val="00BB1ADB"/>
    <w:rsid w:val="00BB381E"/>
    <w:rsid w:val="00BB7B98"/>
    <w:rsid w:val="00BC79AF"/>
    <w:rsid w:val="00BD0F52"/>
    <w:rsid w:val="00BD24BE"/>
    <w:rsid w:val="00BE5849"/>
    <w:rsid w:val="00BE677C"/>
    <w:rsid w:val="00BF05D8"/>
    <w:rsid w:val="00BF4903"/>
    <w:rsid w:val="00BF4FB0"/>
    <w:rsid w:val="00BF5FF2"/>
    <w:rsid w:val="00BF7030"/>
    <w:rsid w:val="00C0468A"/>
    <w:rsid w:val="00C06A2A"/>
    <w:rsid w:val="00C0716A"/>
    <w:rsid w:val="00C1052F"/>
    <w:rsid w:val="00C11D82"/>
    <w:rsid w:val="00C121CA"/>
    <w:rsid w:val="00C15405"/>
    <w:rsid w:val="00C174D4"/>
    <w:rsid w:val="00C23867"/>
    <w:rsid w:val="00C24FD5"/>
    <w:rsid w:val="00C34213"/>
    <w:rsid w:val="00C403BB"/>
    <w:rsid w:val="00C5236C"/>
    <w:rsid w:val="00C5528D"/>
    <w:rsid w:val="00C5553E"/>
    <w:rsid w:val="00C57F40"/>
    <w:rsid w:val="00C70768"/>
    <w:rsid w:val="00C75CC7"/>
    <w:rsid w:val="00C831EB"/>
    <w:rsid w:val="00C9201C"/>
    <w:rsid w:val="00C94F1B"/>
    <w:rsid w:val="00C95181"/>
    <w:rsid w:val="00CA5E49"/>
    <w:rsid w:val="00CB2362"/>
    <w:rsid w:val="00CB268B"/>
    <w:rsid w:val="00CC20E6"/>
    <w:rsid w:val="00CC3FB4"/>
    <w:rsid w:val="00CD14B7"/>
    <w:rsid w:val="00CE0575"/>
    <w:rsid w:val="00CE1912"/>
    <w:rsid w:val="00CE1A22"/>
    <w:rsid w:val="00CE218C"/>
    <w:rsid w:val="00CE43C8"/>
    <w:rsid w:val="00CF0DB8"/>
    <w:rsid w:val="00CF2DC0"/>
    <w:rsid w:val="00CF33DC"/>
    <w:rsid w:val="00D0374A"/>
    <w:rsid w:val="00D03E94"/>
    <w:rsid w:val="00D070C4"/>
    <w:rsid w:val="00D134D3"/>
    <w:rsid w:val="00D13A00"/>
    <w:rsid w:val="00D14E59"/>
    <w:rsid w:val="00D16178"/>
    <w:rsid w:val="00D16FDD"/>
    <w:rsid w:val="00D25DFF"/>
    <w:rsid w:val="00D316E8"/>
    <w:rsid w:val="00D33320"/>
    <w:rsid w:val="00D37069"/>
    <w:rsid w:val="00D46C2B"/>
    <w:rsid w:val="00D50594"/>
    <w:rsid w:val="00D5112C"/>
    <w:rsid w:val="00D5430F"/>
    <w:rsid w:val="00D544F2"/>
    <w:rsid w:val="00D607B6"/>
    <w:rsid w:val="00D612C4"/>
    <w:rsid w:val="00D67977"/>
    <w:rsid w:val="00D67AAD"/>
    <w:rsid w:val="00D742C2"/>
    <w:rsid w:val="00D76474"/>
    <w:rsid w:val="00D805FB"/>
    <w:rsid w:val="00D91612"/>
    <w:rsid w:val="00DA04FA"/>
    <w:rsid w:val="00DA3B8A"/>
    <w:rsid w:val="00DC249C"/>
    <w:rsid w:val="00DC2896"/>
    <w:rsid w:val="00DC7F65"/>
    <w:rsid w:val="00DD024B"/>
    <w:rsid w:val="00DD07A7"/>
    <w:rsid w:val="00DD3340"/>
    <w:rsid w:val="00DE0577"/>
    <w:rsid w:val="00DF2F6A"/>
    <w:rsid w:val="00DF4E96"/>
    <w:rsid w:val="00E14A64"/>
    <w:rsid w:val="00E1683D"/>
    <w:rsid w:val="00E212F8"/>
    <w:rsid w:val="00E3051C"/>
    <w:rsid w:val="00E32AC5"/>
    <w:rsid w:val="00E35676"/>
    <w:rsid w:val="00E43603"/>
    <w:rsid w:val="00E50D03"/>
    <w:rsid w:val="00E521EB"/>
    <w:rsid w:val="00E62BB0"/>
    <w:rsid w:val="00E70969"/>
    <w:rsid w:val="00E77887"/>
    <w:rsid w:val="00E77DBE"/>
    <w:rsid w:val="00E8087F"/>
    <w:rsid w:val="00E831E7"/>
    <w:rsid w:val="00EB1B7A"/>
    <w:rsid w:val="00EB30F8"/>
    <w:rsid w:val="00EB3605"/>
    <w:rsid w:val="00EB3696"/>
    <w:rsid w:val="00EC08AA"/>
    <w:rsid w:val="00ED503F"/>
    <w:rsid w:val="00ED6978"/>
    <w:rsid w:val="00EE704B"/>
    <w:rsid w:val="00EF1762"/>
    <w:rsid w:val="00F055EC"/>
    <w:rsid w:val="00F11A7E"/>
    <w:rsid w:val="00F23E2C"/>
    <w:rsid w:val="00F24C1C"/>
    <w:rsid w:val="00F27E47"/>
    <w:rsid w:val="00F300DA"/>
    <w:rsid w:val="00F42A02"/>
    <w:rsid w:val="00F44573"/>
    <w:rsid w:val="00F5382D"/>
    <w:rsid w:val="00F640D1"/>
    <w:rsid w:val="00F6588E"/>
    <w:rsid w:val="00F65DA5"/>
    <w:rsid w:val="00F844B0"/>
    <w:rsid w:val="00F85FA3"/>
    <w:rsid w:val="00FA019B"/>
    <w:rsid w:val="00FA643E"/>
    <w:rsid w:val="00FB4DF8"/>
    <w:rsid w:val="00FB5663"/>
    <w:rsid w:val="00FB7F85"/>
    <w:rsid w:val="00FC10A1"/>
    <w:rsid w:val="00FC53F9"/>
    <w:rsid w:val="00FD5F57"/>
    <w:rsid w:val="00FE4520"/>
    <w:rsid w:val="00FE4CFD"/>
    <w:rsid w:val="00FF337D"/>
    <w:rsid w:val="00FF4EE6"/>
    <w:rsid w:val="00FF5EFB"/>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878A8"/>
  <w15:docId w15:val="{C98DB8A5-BE43-4648-81BD-B9196830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7053C"/>
    <w:rPr>
      <w:b/>
      <w:bCs/>
    </w:rPr>
  </w:style>
  <w:style w:type="character" w:customStyle="1" w:styleId="CommentSubjectChar">
    <w:name w:val="Comment Subject Char"/>
    <w:basedOn w:val="CommentTextChar"/>
    <w:link w:val="CommentSubject"/>
    <w:uiPriority w:val="99"/>
    <w:semiHidden/>
    <w:rsid w:val="0007053C"/>
    <w:rPr>
      <w:b/>
      <w:bCs/>
      <w:sz w:val="20"/>
      <w:szCs w:val="20"/>
    </w:rPr>
  </w:style>
  <w:style w:type="character" w:styleId="Hyperlink">
    <w:name w:val="Hyperlink"/>
    <w:basedOn w:val="DefaultParagraphFont"/>
    <w:uiPriority w:val="99"/>
    <w:unhideWhenUsed/>
    <w:rsid w:val="0007053C"/>
    <w:rPr>
      <w:color w:val="0000FF" w:themeColor="hyperlink"/>
      <w:u w:val="single"/>
    </w:rPr>
  </w:style>
  <w:style w:type="character" w:styleId="UnresolvedMention">
    <w:name w:val="Unresolved Mention"/>
    <w:basedOn w:val="DefaultParagraphFont"/>
    <w:uiPriority w:val="99"/>
    <w:semiHidden/>
    <w:unhideWhenUsed/>
    <w:rsid w:val="0007053C"/>
    <w:rPr>
      <w:color w:val="605E5C"/>
      <w:shd w:val="clear" w:color="auto" w:fill="E1DFDD"/>
    </w:rPr>
  </w:style>
  <w:style w:type="paragraph" w:styleId="Revision">
    <w:name w:val="Revision"/>
    <w:hidden/>
    <w:uiPriority w:val="99"/>
    <w:semiHidden/>
    <w:rsid w:val="0007053C"/>
    <w:pPr>
      <w:spacing w:line="240" w:lineRule="auto"/>
    </w:pPr>
  </w:style>
  <w:style w:type="paragraph" w:styleId="FootnoteText">
    <w:name w:val="footnote text"/>
    <w:basedOn w:val="Normal"/>
    <w:link w:val="FootnoteTextChar"/>
    <w:uiPriority w:val="99"/>
    <w:semiHidden/>
    <w:unhideWhenUsed/>
    <w:rsid w:val="00511245"/>
    <w:pPr>
      <w:spacing w:line="240" w:lineRule="auto"/>
    </w:pPr>
    <w:rPr>
      <w:sz w:val="20"/>
      <w:szCs w:val="20"/>
    </w:rPr>
  </w:style>
  <w:style w:type="character" w:customStyle="1" w:styleId="FootnoteTextChar">
    <w:name w:val="Footnote Text Char"/>
    <w:basedOn w:val="DefaultParagraphFont"/>
    <w:link w:val="FootnoteText"/>
    <w:uiPriority w:val="99"/>
    <w:semiHidden/>
    <w:rsid w:val="00511245"/>
    <w:rPr>
      <w:sz w:val="20"/>
      <w:szCs w:val="20"/>
    </w:rPr>
  </w:style>
  <w:style w:type="character" w:styleId="FootnoteReference">
    <w:name w:val="footnote reference"/>
    <w:basedOn w:val="DefaultParagraphFont"/>
    <w:uiPriority w:val="99"/>
    <w:semiHidden/>
    <w:unhideWhenUsed/>
    <w:rsid w:val="00511245"/>
    <w:rPr>
      <w:vertAlign w:val="superscript"/>
    </w:rPr>
  </w:style>
  <w:style w:type="paragraph" w:styleId="ListParagraph">
    <w:name w:val="List Paragraph"/>
    <w:basedOn w:val="Normal"/>
    <w:uiPriority w:val="34"/>
    <w:qFormat/>
    <w:rsid w:val="00EB1B7A"/>
    <w:pPr>
      <w:ind w:left="720"/>
      <w:contextualSpacing/>
    </w:pPr>
  </w:style>
  <w:style w:type="paragraph" w:styleId="Header">
    <w:name w:val="header"/>
    <w:basedOn w:val="Normal"/>
    <w:link w:val="HeaderChar"/>
    <w:uiPriority w:val="99"/>
    <w:unhideWhenUsed/>
    <w:rsid w:val="000B6FB3"/>
    <w:pPr>
      <w:tabs>
        <w:tab w:val="center" w:pos="4513"/>
        <w:tab w:val="right" w:pos="9026"/>
      </w:tabs>
      <w:spacing w:line="240" w:lineRule="auto"/>
    </w:pPr>
  </w:style>
  <w:style w:type="character" w:customStyle="1" w:styleId="HeaderChar">
    <w:name w:val="Header Char"/>
    <w:basedOn w:val="DefaultParagraphFont"/>
    <w:link w:val="Header"/>
    <w:uiPriority w:val="99"/>
    <w:rsid w:val="000B6FB3"/>
  </w:style>
  <w:style w:type="paragraph" w:styleId="Footer">
    <w:name w:val="footer"/>
    <w:basedOn w:val="Normal"/>
    <w:link w:val="FooterChar"/>
    <w:uiPriority w:val="99"/>
    <w:unhideWhenUsed/>
    <w:rsid w:val="000B6FB3"/>
    <w:pPr>
      <w:tabs>
        <w:tab w:val="center" w:pos="4513"/>
        <w:tab w:val="right" w:pos="9026"/>
      </w:tabs>
      <w:spacing w:line="240" w:lineRule="auto"/>
    </w:pPr>
  </w:style>
  <w:style w:type="character" w:customStyle="1" w:styleId="FooterChar">
    <w:name w:val="Footer Char"/>
    <w:basedOn w:val="DefaultParagraphFont"/>
    <w:link w:val="Footer"/>
    <w:uiPriority w:val="99"/>
    <w:rsid w:val="000B6FB3"/>
  </w:style>
  <w:style w:type="character" w:styleId="FollowedHyperlink">
    <w:name w:val="FollowedHyperlink"/>
    <w:basedOn w:val="DefaultParagraphFont"/>
    <w:uiPriority w:val="99"/>
    <w:semiHidden/>
    <w:unhideWhenUsed/>
    <w:rsid w:val="00087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4373">
      <w:bodyDiv w:val="1"/>
      <w:marLeft w:val="0"/>
      <w:marRight w:val="0"/>
      <w:marTop w:val="0"/>
      <w:marBottom w:val="0"/>
      <w:divBdr>
        <w:top w:val="none" w:sz="0" w:space="0" w:color="auto"/>
        <w:left w:val="none" w:sz="0" w:space="0" w:color="auto"/>
        <w:bottom w:val="none" w:sz="0" w:space="0" w:color="auto"/>
        <w:right w:val="none" w:sz="0" w:space="0" w:color="auto"/>
      </w:divBdr>
    </w:div>
    <w:div w:id="245236652">
      <w:bodyDiv w:val="1"/>
      <w:marLeft w:val="0"/>
      <w:marRight w:val="0"/>
      <w:marTop w:val="0"/>
      <w:marBottom w:val="0"/>
      <w:divBdr>
        <w:top w:val="none" w:sz="0" w:space="0" w:color="auto"/>
        <w:left w:val="none" w:sz="0" w:space="0" w:color="auto"/>
        <w:bottom w:val="none" w:sz="0" w:space="0" w:color="auto"/>
        <w:right w:val="none" w:sz="0" w:space="0" w:color="auto"/>
      </w:divBdr>
    </w:div>
    <w:div w:id="675886713">
      <w:bodyDiv w:val="1"/>
      <w:marLeft w:val="0"/>
      <w:marRight w:val="0"/>
      <w:marTop w:val="0"/>
      <w:marBottom w:val="0"/>
      <w:divBdr>
        <w:top w:val="none" w:sz="0" w:space="0" w:color="auto"/>
        <w:left w:val="none" w:sz="0" w:space="0" w:color="auto"/>
        <w:bottom w:val="none" w:sz="0" w:space="0" w:color="auto"/>
        <w:right w:val="none" w:sz="0" w:space="0" w:color="auto"/>
      </w:divBdr>
    </w:div>
    <w:div w:id="916787182">
      <w:bodyDiv w:val="1"/>
      <w:marLeft w:val="0"/>
      <w:marRight w:val="0"/>
      <w:marTop w:val="0"/>
      <w:marBottom w:val="0"/>
      <w:divBdr>
        <w:top w:val="none" w:sz="0" w:space="0" w:color="auto"/>
        <w:left w:val="none" w:sz="0" w:space="0" w:color="auto"/>
        <w:bottom w:val="none" w:sz="0" w:space="0" w:color="auto"/>
        <w:right w:val="none" w:sz="0" w:space="0" w:color="auto"/>
      </w:divBdr>
    </w:div>
    <w:div w:id="986545705">
      <w:bodyDiv w:val="1"/>
      <w:marLeft w:val="0"/>
      <w:marRight w:val="0"/>
      <w:marTop w:val="0"/>
      <w:marBottom w:val="0"/>
      <w:divBdr>
        <w:top w:val="none" w:sz="0" w:space="0" w:color="auto"/>
        <w:left w:val="none" w:sz="0" w:space="0" w:color="auto"/>
        <w:bottom w:val="none" w:sz="0" w:space="0" w:color="auto"/>
        <w:right w:val="none" w:sz="0" w:space="0" w:color="auto"/>
      </w:divBdr>
    </w:div>
    <w:div w:id="1360858884">
      <w:bodyDiv w:val="1"/>
      <w:marLeft w:val="0"/>
      <w:marRight w:val="0"/>
      <w:marTop w:val="0"/>
      <w:marBottom w:val="0"/>
      <w:divBdr>
        <w:top w:val="none" w:sz="0" w:space="0" w:color="auto"/>
        <w:left w:val="none" w:sz="0" w:space="0" w:color="auto"/>
        <w:bottom w:val="none" w:sz="0" w:space="0" w:color="auto"/>
        <w:right w:val="none" w:sz="0" w:space="0" w:color="auto"/>
      </w:divBdr>
    </w:div>
    <w:div w:id="1467433928">
      <w:bodyDiv w:val="1"/>
      <w:marLeft w:val="0"/>
      <w:marRight w:val="0"/>
      <w:marTop w:val="0"/>
      <w:marBottom w:val="0"/>
      <w:divBdr>
        <w:top w:val="none" w:sz="0" w:space="0" w:color="auto"/>
        <w:left w:val="none" w:sz="0" w:space="0" w:color="auto"/>
        <w:bottom w:val="none" w:sz="0" w:space="0" w:color="auto"/>
        <w:right w:val="none" w:sz="0" w:space="0" w:color="auto"/>
      </w:divBdr>
    </w:div>
    <w:div w:id="1579711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ices-library.figshare.com/articles/report/Guide_to_ICES_advisory_framework_and_principles/18638000?file=33417401" TargetMode="External"/><Relationship Id="rId3" Type="http://schemas.openxmlformats.org/officeDocument/2006/relationships/hyperlink" Target="https://www.pewtrusts.org/-/media/assets/2024/02/to-improve-fisheries-management-and-protect.pdf" TargetMode="External"/><Relationship Id="rId7" Type="http://schemas.openxmlformats.org/officeDocument/2006/relationships/hyperlink" Target="https://cinea.ec.europa.eu/document/download/432456b6-15cd-4f8c-aa78-281e8551d2b9_en?filename=theImplementationEcosystem-basedApplied-CFP-HZ0922512ENN.pdf" TargetMode="External"/><Relationship Id="rId2" Type="http://schemas.openxmlformats.org/officeDocument/2006/relationships/hyperlink" Target="https://doi.org/10.17895/ices.pub.23507958" TargetMode="External"/><Relationship Id="rId1" Type="http://schemas.openxmlformats.org/officeDocument/2006/relationships/hyperlink" Target="https://www.nsrac.org/wp-content/uploads/2023/10/16-2223-NSAC-Advice-on-stakeholder-engagement-in-ICES-Advice-requests.pdf" TargetMode="External"/><Relationship Id="rId6" Type="http://schemas.openxmlformats.org/officeDocument/2006/relationships/hyperlink" Target="https://eur-lex.europa.eu/legal-content/EN/TXT/PDF/?uri=CELEX:32013R1380" TargetMode="External"/><Relationship Id="rId11" Type="http://schemas.openxmlformats.org/officeDocument/2006/relationships/hyperlink" Target="https://ices-library.figshare.com/articles/report/Workshop_on_Implementation_of_Stakeholder_Engagement_Strategy_WKSTIMP_/23507958" TargetMode="External"/><Relationship Id="rId5" Type="http://schemas.openxmlformats.org/officeDocument/2006/relationships/hyperlink" Target="https://commission.europa.eu/document/download/199176cf-6c4e-48ad-a9f7-9c1b31bbbd09_en?filename=better_regulation_joining_forces_to_make_better_laws_en.pdf" TargetMode="External"/><Relationship Id="rId10" Type="http://schemas.openxmlformats.org/officeDocument/2006/relationships/hyperlink" Target="https://www.sciencedirect.com/science/article/abs/pii/S0308597X22004365?via%3Dihub" TargetMode="External"/><Relationship Id="rId4" Type="http://schemas.openxmlformats.org/officeDocument/2006/relationships/hyperlink" Target="https://cinea.ec.europa.eu/document/download/432456b6-15cd-4f8c-aa78-281e8551d2b9_en?filename=theImplementationEcosystem-basedApplied-CFP-HZ0922512ENN.pdf" TargetMode="External"/><Relationship Id="rId9" Type="http://schemas.openxmlformats.org/officeDocument/2006/relationships/hyperlink" Target="https://ices-library.figshare.com/articles/report/ICES_Guidelines_on_the_formulation_of_advice_requests/24338032?file=4275933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112246FC007E4E8F956ED65EE40634" ma:contentTypeVersion="20" ma:contentTypeDescription="Create a new document." ma:contentTypeScope="" ma:versionID="250bd4bc7347a1d5e3a100ae3f70dca7">
  <xsd:schema xmlns:xsd="http://www.w3.org/2001/XMLSchema" xmlns:xs="http://www.w3.org/2001/XMLSchema" xmlns:p="http://schemas.microsoft.com/office/2006/metadata/properties" xmlns:ns2="9b5e8e2c-a7f2-400f-b01b-7246cd0b8223" xmlns:ns3="bed8726f-3b78-431b-8f7a-7949c9f1402e" targetNamespace="http://schemas.microsoft.com/office/2006/metadata/properties" ma:root="true" ma:fieldsID="9034ef4630afe75e9f1019972d465e2a" ns2:_="" ns3:_="">
    <xsd:import namespace="9b5e8e2c-a7f2-400f-b01b-7246cd0b8223"/>
    <xsd:import namespace="bed8726f-3b78-431b-8f7a-7949c9f1402e"/>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e8e2c-a7f2-400f-b01b-7246cd0b82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be1c9d5c-f65b-4860-91bf-0b1fdca85390}" ma:internalName="TaxCatchAll" ma:showField="CatchAllData" ma:web="9b5e8e2c-a7f2-400f-b01b-7246cd0b82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d8726f-3b78-431b-8f7a-7949c9f1402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c615dd5-1b1b-4f62-a39f-e96da527bd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b5e8e2c-a7f2-400f-b01b-7246cd0b8223" xsi:nil="true"/>
    <lcf76f155ced4ddcb4097134ff3c332f xmlns="bed8726f-3b78-431b-8f7a-7949c9f1402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C1B9A-97BE-491F-A38E-36C29B53C42D}">
  <ds:schemaRefs>
    <ds:schemaRef ds:uri="http://schemas.microsoft.com/sharepoint/v3/contenttype/forms"/>
  </ds:schemaRefs>
</ds:datastoreItem>
</file>

<file path=customXml/itemProps2.xml><?xml version="1.0" encoding="utf-8"?>
<ds:datastoreItem xmlns:ds="http://schemas.openxmlformats.org/officeDocument/2006/customXml" ds:itemID="{C6E9AA46-668C-470B-BA7D-0B530E40E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e8e2c-a7f2-400f-b01b-7246cd0b8223"/>
    <ds:schemaRef ds:uri="bed8726f-3b78-431b-8f7a-7949c9f14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47712C-99C8-439F-A8C6-1A2EDBE198CA}">
  <ds:schemaRefs>
    <ds:schemaRef ds:uri="http://schemas.microsoft.com/office/2006/metadata/properties"/>
    <ds:schemaRef ds:uri="http://schemas.microsoft.com/office/infopath/2007/PartnerControls"/>
    <ds:schemaRef ds:uri="9b5e8e2c-a7f2-400f-b01b-7246cd0b8223"/>
    <ds:schemaRef ds:uri="bed8726f-3b78-431b-8f7a-7949c9f1402e"/>
  </ds:schemaRefs>
</ds:datastoreItem>
</file>

<file path=customXml/itemProps4.xml><?xml version="1.0" encoding="utf-8"?>
<ds:datastoreItem xmlns:ds="http://schemas.openxmlformats.org/officeDocument/2006/customXml" ds:itemID="{FD4DCCB2-DDD6-45C1-ACF9-567956026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2137</Words>
  <Characters>12184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Talevska</dc:creator>
  <cp:lastModifiedBy>Alexandre</cp:lastModifiedBy>
  <cp:revision>2</cp:revision>
  <dcterms:created xsi:type="dcterms:W3CDTF">2024-09-27T18:40:00Z</dcterms:created>
  <dcterms:modified xsi:type="dcterms:W3CDTF">2024-09-27T18:40:00Z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7c980baf824cace2acd830563ca277e934756ad50a2c399e3ff77f6f62eb1c72</vt:lpwstr>
  </property>
  <property fmtid="{D5CDD505-2E9C-101B-9397-08002B2CF9AE}" pid="3" name="ContentTypeId">
    <vt:lpwstr>0x010100643BD2A95EFFAB4B88DDC3E5B9C90CCB</vt:lpwstr>
  </property>
  <property fmtid="{D5CDD505-2E9C-101B-9397-08002B2CF9AE}" pid="4" name="lcf76f155ced4ddcb4097134ff3c332f">
    <vt:lpwstr/>
  </property>
  <property fmtid="{D5CDD505-2E9C-101B-9397-08002B2CF9AE}" pid="5" name="TaxCatchAll">
    <vt:lpwstr/>
  </property>
  <property fmtid="{D5CDD505-2E9C-101B-9397-08002B2CF9AE}" pid="6" name="MediaServiceImageTags">
    <vt:lpwstr/>
  </property>
</Properties>
</file>